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501/2013 vom 8. November 2013</w:t>
      </w:r>
    </w:p>
    <w:p>
      <w:r>
        <w:t>Bundesgericht, 2013-11-08, DE</w:t>
      </w:r>
    </w:p>
    <w:p>
      <w:r>
        <w:rPr>
          <w:b/>
        </w:rPr>
        <w:t xml:space="preserve">Quelle: </w:t>
      </w:r>
      <w:r>
        <w:t>https://mcp.opencaselaw.ch/entscheid/bger_2C_501_2013</w:t>
      </w:r>
    </w:p>
    <w:p>
      <w:r>
        <w:t>FR: TF 2C 501/2013 du 8 novembre 2013</w:t>
      </w:r>
    </w:p>
    <w:p>
      <w:r>
        <w:t>IT: TF 2C 501/2013 del 8 novembre 2013</w:t>
      </w:r>
    </w:p>
    <w:p>
      <w:pPr>
        <w:pStyle w:val="Heading2"/>
      </w:pPr>
      <w:r>
        <w:t>Regeste</w:t>
      </w:r>
    </w:p>
    <w:p>
      <w:r>
        <w:t>Widerruf der Niederlassungsbewilligung und Wegweisung | Bürgerrecht und Ausländerrecht</w:t>
      </w:r>
    </w:p>
    <w:p>
      <w:pPr>
        <w:pStyle w:val="Heading2"/>
      </w:pPr>
      <w:r>
        <w:t>Erwägungen</w:t>
      </w:r>
    </w:p>
    <w:p>
      <w:r>
        <w:rPr>
          <w:b/>
        </w:rPr>
        <w:t>E. 1.1</w:t>
      </w:r>
    </w:p>
    <w:p>
      <w:r>
        <w:t>Angefochten ist der letztinstanzliche, verfahrensabschliessende Entscheid eines kantonalen Gerichts auf dem Gebiet des öffentlichen Rechts, welcher grundsätzlich der Beschwerde in öffentlich-rechtlichen Angelegenheiten unterliegt (vgl. Art. 86 Abs. 1 lit. d, Art. 90 und Art. 82 lit. a BGG ). Gegen Entscheide über den Widerruf einer Niederlassungsbewilligung ist die Beschwerde in öffentlich-rechtlichen Angelegenheiten zulässig, weil grundsätzlich ein Anspruch auf das Fortbestehen dieser Bewilligung gegeben ist ( BGE 135 II 1 E. 1.2.1 S. 4). Ob der Anspruch im konkreten Fall zu bejahen ist, bildet Gegenstand der materiellen Beurteilung ( BGE 137 I 284 E. 1.3 S. 287).</w:t>
      </w:r>
    </w:p>
    <w:p>
      <w:r>
        <w:rPr>
          <w:b/>
        </w:rPr>
        <w:t>E. 1.2</w:t>
      </w:r>
    </w:p>
    <w:p>
      <w:r>
        <w:t>Die übrigen Sachurteilsvoraussetzungen sind offensichtlich erfüllt, so dass auf die Beschwerde einzutreten ist.</w:t>
      </w:r>
    </w:p>
    <w:p>
      <w:r>
        <w:rPr>
          <w:b/>
        </w:rPr>
        <w:t>E. 2.1</w:t>
      </w:r>
    </w:p>
    <w:p>
      <w:r>
        <w:t>Mit der Beschwerde in öffentlich-rechtlichen Angelegenheiten kann eine Rechtsverletzung nach Art. 95 und Art. 96 BGG gerügt werden. Das Bundesgericht wendet das Recht von Amtes wegen an ( Art. 106 Abs. 1 BGG ). In Bezug auf die Verletzung von Grundrechten gilt eine qualifizierte Rüge- und Substanziierungspflicht ( Art. 106 Abs. 2 BGG ; BGE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w:t>
      </w:r>
    </w:p>
    <w:p>
      <w:r>
        <w:rPr>
          <w:b/>
        </w:rPr>
        <w:t>E. 3</w:t>
      </w:r>
    </w:p>
    <w:p>
      <w:r>
        <w:t>Der Beschwerdeführer macht eine Verletzung des rechtlichen Gehörs geltend. Aufgrund der formellen Natur dieses Anspruchs ist die Rüge vorab zu behandeln ( BGE 138 I 232 E. 5.1 S. 237).</w:t>
      </w:r>
    </w:p>
    <w:p>
      <w:r>
        <w:rPr>
          <w:b/>
        </w:rPr>
        <w:t>E. 3.1</w:t>
      </w:r>
    </w:p>
    <w:p>
      <w:r>
        <w:t>Der Beschwerdeführer trägt vor, die Vorinstanz habe seinen Antrag auf persönliche Anhörung unzulässigerweise abgewiesen. Zudem habe sie entgegen seinem Antrag auf die Einholung von Arztberichten (zum Beweis der Überwindung der Alkoholsucht als Wurzel der früheren Delinquenz) sowie der Bilanz und Erfolgsrechnung der Firma S.________ GmbH (zum Nachweis der erfolgreichen selbständigen Erwerbstätigkeit) verzichtet.</w:t>
      </w:r>
    </w:p>
    <w:p>
      <w:r>
        <w:rPr>
          <w:b/>
        </w:rPr>
        <w:t>E. 3.2</w:t>
      </w:r>
    </w:p>
    <w:p>
      <w:r>
        <w:t>Entgegen der Auffassung des Beschwerdeführers fliesst aus Art. 29 Abs. 2 BV kein Recht auf mündliche Anhörung ( BGE 134 I 140 E. 5.3 S. 148; 130 II 425 E. 2.1 S. 428). Das Recht auf schriftliche Stellungnahme wurde dem Beschwerdeführer von der Vorinstanz im Rahmen des Schriftenwechsels gewährt. Indessen umfasst der Anspruch auf rechtliches Gehör keine allgemeine Pflicht der Behörde zur Abnahme aller angebotenen Beweise. Die Abweisung eines Beweisantrags ist zulässig, wenn die Verwaltungs- oder Gerichtsbehörde aufgrund der bereits abgenommenen Beweise ihre Überzeugung gebildet hat und ohne Willkür in vorweggenommener Beweiswürdigung annehmen kann, die gewonnene Überzeugung werde durch weitere Beweiserhebungen nicht erschüttert ( BGE 136 I 229 E. 5.3 S. 236 ; 134 I 140 E. 5.3 S. 148). Die Vorinstanz hat dem behaupteten Umstand, wonach der Beschwerdeführer seine Alkoholsucht überwunden habe, hinsichtlich des Rückfallrisikos keine entscheidende Bedeutung zugemessen: Nach ihrer Auffassung ist nach der letzten rechtskräftigen Verurteilung ein Wohlverhalten von ungefähr fünf Jahren notwendig, damit ein vermindertes öffentliches Interesse an der Entfernungsmassnahme angenommen werden kann. Ob diese Meinung Zustimmung verdient, kann hier offen bleiben; jedenfalls liegt keine Verletzung des rechtlichen Gehörs darin, dass die Vorinstanz auf die Einholung von ärztlichen Gutachten zur Frage des Rückfallrisikos verzichtet hat. Ähnlich verhält es sich mit dem Antrag auf Einholung der Bilanz und der Erfolgsrechnung der vom Beschwerdeführer im Jahr 2010 gegründeten S.________ GmbH. Abgesehen davon, dass er als Geschäftsführer die genannten Unterlagen selbst hätte einreichen können, ist nicht ersichtlich, inwiefern der rechtserhebliche Sachverhalt dadurch ergänzt worden wäre. Auch die Abweisung dieses Beweisantrags stellt somit keine Verletzung des rechtlichen Gehörs des Beschwerdeführers dar.</w:t>
      </w:r>
    </w:p>
    <w:p>
      <w:r>
        <w:rPr>
          <w:b/>
        </w:rPr>
        <w:t>E. 4.1</w:t>
      </w:r>
    </w:p>
    <w:p>
      <w:r>
        <w:t>Gemäss Art. 63 Abs. 1 lit. a AuG (SR 142.20) in Verbindung mit Art. 62 lit. b AuG kann die Niederlassungsbewilligung widerrufen werden, wenn die ausländische Person zu einer längerfristigen Freiheitsstrafe verurteilt oder gegen sie eine strafrechtliche Massnahme im Sinn von Art. 64 oder Art. 61 StGB angeordnet wurde. Eine längerfristige Freiheitsstrafe gemäss Art. 62 lit. b AuG liegt vor, wenn sie die Dauer eines Jahres überschreitet ( BGE 135 II 377 E. 4.2), wobei es keine Rolle spielt, ob sie bedingt, teilbedingt oder unbedingt ausgesprochen wurde ( BGE 139 I 31 E. 2.1 S. 32, 16 E. 2.1 S. 18). Nachdem der Beschwerdeführer zu einer Freiheitsstrafe von drei Jahren verurteilt worden war, ist der Widerrufsgrund von Art. 62 lit. b AuG in der ersten Variante erfüllt.</w:t>
      </w:r>
    </w:p>
    <w:p>
      <w:r>
        <w:rPr>
          <w:b/>
        </w:rPr>
        <w:t>E. 4.2</w:t>
      </w:r>
    </w:p>
    <w:p>
      <w:r>
        <w:t>In jedem Fall rechtfertigt sich der Widerruf einer Niederlassungsbewilligung nur, wenn die Massnahme nach einer Gegenüberstellung der privaten und der öffentlichen Interessen verhältnismässig erscheint. Dabei sind namentlich die Schwere des Verschuldens, der Grad der Integration und die der betroffenen Person drohenden Nachteile zu berücksichtigen ( BGE 139 I 31 E. 2.3.1 S. 33; 135 II 377 E. 4.3 S. 381; vgl. auch Art. 96 Abs. 1 AuG). Je länger eine ausländische Person in der Schweiz gelebt hat, desto strengere Anforderungen sind grundsätzlich an Entfernungsmassnahmen zu stellen ( BGE 135 II 110 E. 2.1 S. 112). Zudem kann das in Art. 8 Ziff. 1 EMRK geschützte Recht auf Achtung des Privat- und Familienlebens verletzt sein, wenn einer ausländischen Person, deren Familienangehörige hier weilen, die Anwesenheit untersagt und damit das Familienleben vereitelt wird. Falls die Ausreise für die Familienangehörigen "nicht von vornherein ohne weiteres zumutbar" erscheint ( BGE 116 Ib 353 E. 3d S. 358), ist immer eine Interessenabwägung geboten, welche sämtlichen Umständen des Einzelfalls umfassend Rechnung trägt ( BGE 135 I 153 E. 2.1 S. 154 f. mit Hinweisen). Gemäss Art. 8 Ziff. 2 EMRK ist ein Eingriff in das durch Ziff. 1 geschützte Rechtsgut statthaft, soweit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Die Konvention verlangt eine Abwägung der widerstreitenden Interessen an der Erteilung (bzw. am Fortbestand) der Bewilligung und der öffentlichen Interessen an deren Verweigerung (bzw. an deren Widerruf), wobei Letztere in dem Sinn überwiegen müssen, dass sich der Eingriff als notwendig erweist ( BGE 135 I 153 E. 2.2.1 S. 156 mit Hinweisen).</w:t>
      </w:r>
    </w:p>
    <w:p>
      <w:r>
        <w:rPr>
          <w:b/>
        </w:rPr>
        <w:t>E. 4.3</w:t>
      </w:r>
    </w:p>
    <w:p>
      <w:r>
        <w:t>Die Vorinstanz hat das Verschulden des Beschwerdeführers im Zusammenhang mit den Delikten, welche zur verfahrensauslösenden Verurteilung geführt haben, zu Recht als schwer eingestuft. Es handelt sich um Straftaten gegen die körperliche Unversehrtheit und gegen die Freiheit, was ein erhebliches Verschulden impliziert; dieses kommt auch im relativ hohen Strafmass von drei Jahren Freiheitsentzug zum Ausdruck. Der Einwand des Beschwerdeführers, dass gerade die gravierendsten Straftaten auf die (inzwischen überwundene) Alkoholabhängigkeit zurückzuführen seien, vermag daran nichts zu ändern, ist doch dieser Aspekt bereits in das Strafmass des Urteils des Bezirksgerichts Zofingen vom 17. September 2009 eingeflossen. Zudem war der Beschwerdeführer bereits früher zu einer (bedingten) Gefängnisstrafe von immerhin vier Monaten verurteilt und daraufhin ausländerrechtlich verwarnt worden, was ihn nicht davon abhielt, erneut mehrmals zu delinquieren und teilweise noch schwerere Straftaten zu begehen. Schliesslich weist die Vorinstanz zu Recht darauf hin, dass der Beschwerdeführer wegen häuslicher Gewalt aufgefallen ist, wenngleich die Ehefrau keinen Strafantrag stellte. Die Polizei musste im Jahr 2008 zwei Mal ausrücken, weil der Beschwerdeführer seine Frau geschlagen und mit dem Tod bedroht hatte. Aufgrund dieser zahlreichen, teils schweren Verfehlungen ist von einem starken sicherheitspolizeilichen Interesse am Widerruf der Niederlassungsbewilligung auszugehen.</w:t>
      </w:r>
    </w:p>
    <w:p>
      <w:r>
        <w:rPr>
          <w:b/>
        </w:rPr>
        <w:t>E. 4.4</w:t>
      </w:r>
    </w:p>
    <w:p>
      <w:r>
        <w:t>Dem öffentlichen Interesse ist das private Interesse des Beschwerdeführers am Verbleib in der Schweiz gegenüberzustellen. Es ist unbestritten, dass der Ehefrau und den Kindern eine Ausreise nach Mazedonien kaum zugemutet werden kann. Die Ehefrau lebt seit ihrem achten Altersjahr in der Schweiz, und der ältere Sohn war im Zeitpunkt des angefochtenen Urteils knapp 16 Jahre alt. Das Interesse des Beschwerdeführers am Zusammenleben mit seiner Familie vermag jedoch das öffentliche Interesse an seiner Entfernung nicht aufzuwiegen. Mit seiner wiederholten Straffälligkeit hat er die Trennung von seiner Familie - trotz Verwarnung - leichtfertig in Kauf genommen. Das Familienleben war zudem bereits während der knapp eineinhalb Jahre, welche der Beschwerdeführer im Strafvollzug verbrachte, stark eingeschränkt. Wenn sich der Beschwerdeführer in Mazedonien aufhält, kann der Kontakt durch Besuche und elektronische Kommunikationsmittel gepflegt werden, zumal die Entfernung nicht allzu gross ist. In beruflicher Hinsicht würde der Beschwerdeführer durch die Wegweisung nicht aus einem stabilen Umfeld gerissen, wie die Vorinstanz zutreffend erwogen hat. Auch wenn es dem Beschwerdeführer zugute zu halten ist, dass er nach langen Perioden der Sozialhilfeabhängigkeit eine Erwerbstätigkeit aufgenommen hat, konnte doch die kurze Tätigkeit als Geschäftsführer einer selbst gegründeten GmbH keine berufliche Verankerung bewirken; von einer wirtschaftlichen Integration, wie sie der Beschwerdeführer geltend macht, kann nicht gesprochen werden. Ihm, der im Urteilszeitpunkt 42 Jahre alt war, dürfte der Aufbau einer neuen Existenz in Mazedonien keine unüberwindlichen Schwierigkeiten bereiten. Zwar hat er im Urteilszeitpunkt fast 18 Jahre legal in der Schweiz verbracht; bis zu seinem 24. Altersjahr lebte er jedoch in Mazedonien, so dass eine Wiedereingliederung durchaus möglich erscheint. Es sind keine Anhaltspunkte erkennbar, welche die Ausreise nach Mazedonien unzumutbar erscheinen liessen. Zudem dürfen generalpräventive Gesichtspunkte bei ausländischen Personen, welche sich nicht auf das FZA (SR 0.142.112.681) berufen können, im Rahmen der Interessenabwägung berücksichtigt werden (Urteil 2C_856/2012 vom 25. März 2013 E. 6.9).</w:t>
      </w:r>
    </w:p>
    <w:p>
      <w:r>
        <w:rPr>
          <w:b/>
        </w:rPr>
        <w:t>E. 4.5</w:t>
      </w:r>
    </w:p>
    <w:p>
      <w:r>
        <w:t>Das angefochtene Urteil erweist sich somit als verhältnismässig und ist zu bestätigen.</w:t>
      </w:r>
    </w:p>
    <w:p>
      <w:r>
        <w:rPr>
          <w:b/>
        </w:rPr>
        <w:t>E. 5</w:t>
      </w:r>
    </w:p>
    <w:p>
      <w:r>
        <w:t>Nach dem Gesagten ist die Beschwerde offensichtlich unbegründet und daher im Verfahren nach Art. 109 Abs. 2 lit. a BGG abzuweisen. Der unterliegende Beschwerdeführer hat die Gerichtskosten zu tragen ( Art. 66 Abs. 1 BGG ). Ausgangsgemäss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