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2C_4/2014 vom 10. Juli 2014</w:t>
      </w:r>
    </w:p>
    <w:p>
      <w:r>
        <w:t>Bundesgericht, 2014-07-10, FR</w:t>
      </w:r>
    </w:p>
    <w:p>
      <w:r>
        <w:rPr>
          <w:b/>
        </w:rPr>
        <w:t xml:space="preserve">Quelle: </w:t>
      </w:r>
      <w:r>
        <w:t>https://mcp.opencaselaw.ch/entscheid/bger_2C_4_2014</w:t>
      </w:r>
    </w:p>
    <w:p>
      <w:r>
        <w:t>FR: TF 2C_4/2014 du 10 juillet 2014</w:t>
      </w:r>
    </w:p>
    <w:p>
      <w:r>
        <w:t>IT: TF 2C_4/2014 del 10 luglio 2014</w:t>
      </w:r>
    </w:p>
    <w:p>
      <w:pPr>
        <w:pStyle w:val="Heading2"/>
      </w:pPr>
      <w:r>
        <w:t>Erwägungen</w:t>
      </w:r>
    </w:p>
    <w:p>
      <w:r>
        <w:rPr>
          <w:b/>
        </w:rPr>
        <w:t>E. 1</w:t>
      </w:r>
    </w:p>
    <w:p>
      <w:r>
        <w:t>En tant qu'il porte sur la révocation de l'autorisation d'établissement de X.________, le recours en matière de droit public ne tombe pas sous le coup de l' art. 83 let . c ch. 2 LTF ( ATF 135 II 1 consid. 1.2.1 p. 4). En revanche, en tant qu'il concerne la décision de renvoi de A.Y.________ et B.Y.________, dont le droit de séjour en Suisse dépend uniquement de l'autorisation de X.________, le recours en matière de droit public est exclu en application de l' art. 83 let . c ch. 4 in fine LTF. Seule peut être ouverte la voie du recours constitutionnel subsidiaire ( ATF 137 II 305 ).</w:t>
      </w:r>
    </w:p>
    <w:p>
      <w:r>
        <w:rPr>
          <w:b/>
        </w:rPr>
        <w:t>E. 2</w:t>
      </w:r>
    </w:p>
    <w:p>
      <w:r>
        <w:t>Aucun fait nouveau ni preuve nouvelle ne peut être présenté à moins de résulter de la décision de l'autorité précédente ( art. 99 LTF ). Il s'ensuit que les faits et preuves nouveaux exposés par les recourants, en particulier la nouvelle grossesse de A.Y.________ ainsi que les attestations produites avec le mémoire de recours établies après le 6 décembre 2013, sont irrecevables.</w:t>
      </w:r>
    </w:p>
    <w:p>
      <w:r>
        <w:rPr>
          <w:b/>
        </w:rPr>
        <w:t>E. 3</w:t>
      </w:r>
    </w:p>
    <w:p>
      <w:r>
        <w:t>La motivation présentée pour contester la révocation de l'autorisation d'établissement de X.________ est manifestement infondée. Il convient donc de la rejeter sur la base d'une motivation sommaire (cf. art. 109 LTF ).</w:t>
      </w:r>
    </w:p>
    <w:p>
      <w:r>
        <w:rPr>
          <w:b/>
        </w:rPr>
        <w:t>E. 3.1</w:t>
      </w:r>
    </w:p>
    <w:p>
      <w:r>
        <w:t>Le recourant se prévaut en vain des relations qu'ils entretient avec ses enfants majeurs nés entre 1982 et 1985 pour invoquer le droit au maintien de son autorisation d'établissement fondé sur l' art. 8 CEDH . Comme l'a jugé à bon droit l'instance précédente,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ce qui n'est pas le cas du recourant.</w:t>
      </w:r>
    </w:p>
    <w:p>
      <w:r>
        <w:rPr>
          <w:b/>
        </w:rPr>
        <w:t>E. 3.2</w:t>
      </w:r>
    </w:p>
    <w:p>
      <w:r>
        <w:t>Selon l'art. 63 al. 2 LEtr, l'autorisation d'établissement d'un étranger qui séjourne en Suisse légalement et sans interruption depuis plus de quinze ans ne peut être révoquée que s'il a été condamné à une peine privative de liberté de longue durée ou a fait l'objet d'une mesure pénale prévue aux art. 64 ou 61 CP (art. 62 let. b LEtr). Selon la jurisprudence, constitue une peine privative de liberté de longue durée au sens de cette disposition toute peine dépassant un an d'emprisonnement, étant précisé qu'elle doit résulter d'un seul jugement pénal ( ATF 135 II 377 consid. 4.2 p. 380 s.).</w:t>
      </w:r>
    </w:p>
    <w:p>
      <w:r>
        <w:t>En l'espèce, le recourant conteste, en vain, que la peine privative de liberté de 7 ans pour infraction à la loi sur les stupéfiants constitue un motif permettant de révoquer son autorisation d'établissement au sens des art. 62 let. b LEtr. Ses arguments s'en prennent en réalité à la pesée des intérêts privés et publics effectuée par l'instance précédente.</w:t>
      </w:r>
    </w:p>
    <w:p>
      <w:r>
        <w:rPr>
          <w:b/>
        </w:rPr>
        <w:t>E. 3.3</w:t>
      </w:r>
    </w:p>
    <w:p>
      <w:r>
        <w:t>La révocation de l'autorisation d'établissement ne se justifie que si la pesée globale des intérêts à effectuer fait apparaître la mesure comme proportionnée (cf. art. 96 LEtr; ATF 135 II 377 consid. 4.2 p. 380; arrêt 2C_200/2013 du 16 juillet 2013 consid. 3.3). En l'espèce, le Tribunal cantonal a procédé à cet examen de manière circonstanciée, en prenant en considération tous les éléments requis ( ATF 135 II 377 consid. 4.3 p. 381), de sorte qu'il suffit de renvoyer à l'arrêt attaqué sur ce point ( art. 109 al. 3 LTF ).</w:t>
      </w:r>
    </w:p>
    <w:p>
      <w:r>
        <w:t>Les critiques des recourants concernant la proportionnalité de la mesure se fondent pour le surplus sur une présentation de la situation de X.________ en Suisse tant sur le plan pénal, professionnel que social qui s'écarte de celle retenue par l'instance précédente, sans que les exigences de motivation de l' art. 97 al. 1 LTF ne soient respectées. Dans ces conditions, le recours contre la révocation de l'autorisation d'établissement ne peut qu'être rejeté, dans la mesure où il est recevable.</w:t>
      </w:r>
    </w:p>
    <w:p>
      <w:r>
        <w:rPr>
          <w:b/>
        </w:rPr>
        <w:t>E. 3.4</w:t>
      </w:r>
    </w:p>
    <w:p>
      <w:r>
        <w:t>Leur statut en Suisse étant lié à celui de X.________, qui ne peut bénéficier d'aucune autorisation de police des étrangers, A.Y.________ et B.Y.________ ne peuvent se prévaloir de manière soutenable des art. 8 et 14 CEDH , de sorte qu'il reste à examiner la validité de la décision de renvoi prononcée à leur encontre.</w:t>
      </w:r>
    </w:p>
    <w:p>
      <w:r>
        <w:rPr>
          <w:b/>
        </w:rPr>
        <w:t>E. 4</w:t>
      </w:r>
    </w:p>
    <w:p>
      <w:r>
        <w:t>Seul le recours constitutionnel subsidiaire est ouvert contre les décisions cantonales de dernière instance rendues séparément sur la question des obstacles liés à l'exécution d'un renvoi (cf. art. 113 LTF a contrario).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w:t>
      </w:r>
    </w:p>
    <w:p>
      <w:r>
        <w:t>En l'espèce, les recourants se prévalent de l'art. 3 de la Convention du 20 novembre 1989 relative aux droits de l'enfant (RS 0.107; cf. art. 1 CDE ) qui commande de tenir compte de l'intérêt supérieur de l'enfant dont ils ne peuvent déduire aucune prétention directe à l'obtention d'une autorisation de séjour ( ATF 139 I 315 consid. 2.4 p. 321; 136 I 285 consid. 5.2 p. 287; 135 I 153 consid. 2.2.2 in fine p. 157; arrêts 2C_1142/2012 du 14 mars 2013 consid. 4; 2C_48/2011 du 6 juin 2011 consid. 5). La question de savoir si cette disposition permet de s'opposer à un renvoi peut demeurer ouverte en l'espèce du moment que l'enfant B.________ ne saurait être séparée de son père biologique encore moins de sa mère, qui ne disposent plus de droits de séjour en Suisse.</w:t>
      </w:r>
    </w:p>
    <w:p>
      <w:r>
        <w:t>Au titre d'obstacle à l'exécution du renvoi, les recourants invoquent aussi les art. 8 et 14 CEDH . Ils font valoir que le renvoi de A.Y.________ et B.Y.________ aura pour conséquence qu'elles devront vivre en marge de la société sans ressources économiques en violation du droit au respect de la vie privée et familiale et de l'interdiction de toute discrimination. Ils perdent de vue que, comme ils l'exposent dans leur mémoire de recours, ils ont jusqu'à aujourd'hui élevé ensemble leur fille. Les recourants n'expliquent pas pour quelles raisons il en irait différemment en cas de renvoi de Suisse, d'autant que X.________ est propriétaire d'immeubles dans son pays d'origine qui est également celui de A.Y.________ et B.Y.________, de sorte qu'il n'est pas établi que les craintes des recourants se réalisent.</w:t>
      </w:r>
    </w:p>
    <w:p>
      <w:r>
        <w:rPr>
          <w:b/>
        </w:rPr>
        <w:t>E. 5</w:t>
      </w:r>
    </w:p>
    <w:p>
      <w:r>
        <w:t>Les considérants qui précèdent conduisent au rejet du recours dans la mesure où il est recevable. Succombant, les recourant doivent supporter les frais judiciaires solidairement entre eux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