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2C_49/2009 vom 27. April 2009</w:t>
      </w:r>
    </w:p>
    <w:p>
      <w:r>
        <w:t>Bundesgericht, 2009-04-27, DE</w:t>
      </w:r>
    </w:p>
    <w:p>
      <w:r>
        <w:rPr>
          <w:b/>
        </w:rPr>
        <w:t xml:space="preserve">Quelle: </w:t>
      </w:r>
      <w:r>
        <w:t>https://mcp.opencaselaw.ch/entscheid/bger_2C_49_2009</w:t>
      </w:r>
    </w:p>
    <w:p>
      <w:r>
        <w:t>FR: TF 2C_49/2009 du 27 avril 2009</w:t>
      </w:r>
    </w:p>
    <w:p>
      <w:r>
        <w:t>IT: TF 2C_49/2009 del 27 aprile 2009</w:t>
      </w:r>
    </w:p>
    <w:p>
      <w:pPr>
        <w:pStyle w:val="Heading2"/>
      </w:pPr>
      <w:r>
        <w:t>Erwägungen</w:t>
      </w:r>
    </w:p>
    <w:p>
      <w:r>
        <w:rPr>
          <w:b/>
        </w:rPr>
        <w:t>E. 1</w:t>
      </w:r>
    </w:p>
    <w:p>
      <w:r>
        <w:t>Das Bundesamt für Migration ist im Ausländerrecht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mit Hinweisen). Seine Beschwerdemöglichkeit dient der richtigen und einheitliche Anwendung des Bundesrechts; sie setzt kein hierüber hinausgehendes spezifisches schutzwürdiges (öffentliches) Interesse voraus (Urteil 2A.748/2006 vom 18. Januar 2007 E. 2.2). Immerhin muss ein mit Blick auf die einheitliche Anwendung des Bundesrechts in vergleichbaren Fällen zureichendes Interesse an der Beurteilung der aufgeworfenen Probleme bestehen (Urteil 2A.709/2006 vom 23. März 2007 E. 2.2). Dies ist praxisgemäss dann der Fall, wenn dem Gericht eine neue Rechtsfrage unterbreitet oder eine konkret drohende und nicht anders abwendbare bundesrechtswidrige Rechtsentwicklung verhindert werden soll ( BGE 134 II 201 E. 1.1 mit Hinweisen; HUGI YAR, Zwangsmassnahmen im Ausländerrecht, in: Uebersax et al. [Hrsg.], 2. Aufl., 2009, Rz. 10.184 mit Übersicht über die Rechtsprechung).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Urteil 2C_642/2008 vom 29. Januar 2009 E. 1; BGE 134 II 201 E. 1.1 S. 203; 129 II 1 E. 1.1 S. 4). Sie muss zudem auch für diesen noch von einer gewissen Aktualität und (wenigstens potentiellen) Relevanz sein (vgl. Urteil 2A.748/2006 vom 18. Januar 2007 E. 2.1 und 2.2), was bei den Zwangsmassnahmen nur ausnahmsweise anzunehmen ist, falls das Wegweisungsverfahren, dessen Sicherung sie dienen, erfolgreich abgeschlossen werden konnte.</w:t>
      </w:r>
    </w:p>
    <w:p>
      <w:r>
        <w:rPr>
          <w:b/>
        </w:rPr>
        <w:t>E. 2.1</w:t>
      </w:r>
    </w:p>
    <w:p>
      <w:r>
        <w:t>Das Verwaltungsgericht des Kantons Luzern stellt im angefochtenen Entscheid die in der bundesgerichtlichen Rechtsprechung entwickelten Grundsätze zum Bestehen einer Untertauchensgefahr (Art. 76 Abs. 1 lit. b Ziff. 3 und 4 AuG [SR 142.20]; BGE 130 II 56 E. 3.1 mit Hinweisen; HUGI YAR, a.a.O., Rz. 10.89 - 10.94) bzw. zur Verhältnismässigkeit des Haftentscheids (vgl. hierzu BGE 133 II 1 E. 5.1 und dort nicht publizierte E. 7.2; HUGI YAR, a.a.O., Rz. 10.114 ff.) nicht in Frage. Die Haftrichterin ist vielmehr in deren Anwendung aufgrund des persönlichen Eindrucks vom Betroffenen sowie der zu dessen Gunsten sprechenden Umstände (Abgabe von gewissen Papieren, Kooperationsbereitschaft im Asylverfahren usw.) zum Schluss gekommen, dass dieser - trotz seiner Äusserungen vor dem Migrationsamt, welche auf eine Untertauchensgefahr hätten schliessen lassen - Gewähr dafür biete, dass er sich zu gegebener Zeit, d.h. bei Vorliegen der Rückübernahmeerklärung der italienischen Behörden, für den Wegweisungsvollzug zur Verfügung halten wird, weshalb dem öffentlichen Interesse mit einer Meldepflicht hinreichend gedient und die Haft unangemessen sei (vgl. Art. 80 Abs. 2 AuG zur Prüfung der Angemessenheit des Haftentscheids durch den Haftrichter; HUGI YAR, a.a.O., Rz. 10.25 S. 435). Ihr Entscheid beruhte damit auf den spezifischen Umständen des Einzelfalls. Bei den vom Bundesamt aufgeworfenen Fragen der Untertauchensgefahr bzw. der (Un-)Verhältnismässigkeit der Haftanordnung stehen deshalb sachverhaltsspezifische Aspekte im Vordergrund, die von Fall zu Fall variieren und weder eine neue Rechtsfrage betreffen, noch geeignet sind, eine bundesrechtswidrige Rechtsentwicklung zu begründen.</w:t>
      </w:r>
    </w:p>
    <w:p>
      <w:r>
        <w:rPr>
          <w:b/>
        </w:rPr>
        <w:t>E. 2.2</w:t>
      </w:r>
    </w:p>
    <w:p>
      <w:r>
        <w:t>Das Verwaltungsgericht hat - zu Recht - nicht in Abrede gestellt, dass im Hinblick auf die bilateralen Rückübernahmeabkommen bzw. das Dublin-Verfahren kurzzeitige, ausländerrechtlich begründete Festhaltungen erforderlich sein können, um die daraus fliessenden - regelmässig eher knapp bemessenen (vgl. etwa Art. 4 lit. c des Rückübernahmeabkommens mit Italien [SR 0.142.114.549]) - zeitlichen Vorgaben einhalten zu können; dabei ist theoretisch auch eine etwas strengere Beurteilung der Untertauchensgefahr bzw. der Verhältnismässigkeit der Haft denkbar, als dies hier geschehen ist. Das weitere Verfahren hat der Haftrichterin, der diesbezüglich ein gewisser Beurteilungsspielraum zustand (Urteil 2A.112/1999 vom 17. März 1999 E. 2a; HUGI YAR, a.a.O., Rz. 10.94), indessen ohnehin Recht gegeben: X.________ hat sich - wie von ihm versprochen - dem Amt für Migration an seinem Aufenthaltsort zur Verfügung gehalten. Er konnte am 11. Dezember 2008 den italienischen Behörden überstellt werden, womit sein Wegweisungsverfahren erfolgreich abgeschlossen ist und das Bundesamt im Resultat eine abstrakte Prüfung von in der Rechtsprechung bereits hinreichend beantworteter Fragen zu erwirken sucht. Auf die Beschwerde ist deshalb nicht einzutreten.</w:t>
      </w:r>
    </w:p>
    <w:p>
      <w:r>
        <w:rPr>
          <w:b/>
        </w:rPr>
        <w:t>E. 3</w:t>
      </w:r>
    </w:p>
    <w:p>
      <w:r>
        <w:t>Dem Verfahrensausgang entsprechend sind keine Kosten zu erheben ( Art. 66 Abs. 4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