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2C_499/2024 vom 16. Oktober 2024</w:t>
      </w:r>
    </w:p>
    <w:p>
      <w:r>
        <w:t>Bundesgericht, 2024-10-16, DE</w:t>
      </w:r>
    </w:p>
    <w:p>
      <w:r>
        <w:rPr>
          <w:b/>
        </w:rPr>
        <w:t xml:space="preserve">Quelle: </w:t>
      </w:r>
      <w:r>
        <w:t>https://mcp.opencaselaw.ch/entscheid/bger_2C_499_2024</w:t>
      </w:r>
    </w:p>
    <w:p>
      <w:r>
        <w:t>FR: TF 2C_499/2024 du 16 octobre 2024</w:t>
      </w:r>
    </w:p>
    <w:p>
      <w:r>
        <w:t>IT: TF 2C_499/2024 del 16 ottobre 2024</w:t>
      </w:r>
    </w:p>
    <w:p>
      <w:pPr>
        <w:pStyle w:val="Heading2"/>
      </w:pPr>
      <w:r>
        <w:t>Erwägungen</w:t>
      </w:r>
    </w:p>
    <w:p>
      <w:r>
        <w:rPr>
          <w:b/>
        </w:rPr>
        <w:t>E. 1.1</w:t>
      </w:r>
    </w:p>
    <w:p>
      <w:r>
        <w:t>Mit Urteil der Einzelrichterin vom 11. September 2024 trat das Verwaltungsgericht des Kantons Bern, verwaltungsrechtliche Abteilung, auf eine Beschwerde von A.________ gegen einen Entscheid der Sicherheitsdirektion des Kantons Bern vom 5. August 2024 betreffend Beschlagnahme von Waffen und Munition mangels sachbezogenen Antrags und sachbezogener Begründung nicht ein.</w:t>
      </w:r>
    </w:p>
    <w:p>
      <w:r>
        <w:rPr>
          <w:b/>
        </w:rPr>
        <w:t>E. 1.2</w:t>
      </w:r>
    </w:p>
    <w:p>
      <w:r>
        <w:t>A.________ gelangt mit Beschwerde vom 10. Oktober 2024 an das Bundesgericht und beantragt, es sei der vorinstanzliche "Beschluss" aufzuheben, eventualiter sei die Sache zur Neubeurteilung an die Vorinstanz zurückzuweisen. Prozessual ersucht er um unentgeltliche Rechtspflege. 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Die Vorinstanz hat in Anwendung des kantonalen Verfahrensrechts im Wesentlichen erwogen, dass Eingaben an das Verwaltungsgericht unter anderem einen Antrag und eine Begründung zu enthalten hätten (Art. 81 Abs. 1 i.V.m. Art. 32 Abs. 2 des Gesetzes [des Kantons Bern] vom 23. Mai 1989 über die Verwaltungsrechtspflege [VRPG/BE]). In Bezug auf den Beschwerdeführer hat sie festgehalten, dass die von ihm eingereichte Beschwerdeschrift - selbst unter Berücksichtigung des Umstandes, dass es sich um eine Laienbeschwerde handle - diesen formellen Anforderungen nicht genüge. In der Folge ist das Verwaltungsgericht auf das bei ihm erhobene Rechtsmittel nicht eingetreten.</w:t>
      </w:r>
    </w:p>
    <w:p>
      <w:r>
        <w:rPr>
          <w:b/>
        </w:rPr>
        <w:t>E. 2.3</w:t>
      </w:r>
    </w:p>
    <w:p>
      <w:r>
        <w:t>Die knapp eine Seite umfassende Eingabe des Beschwerdeführers an das Bundesgericht entbehrt jeglicher sachbezogener Auseinandersetzung mit den vorinstanzlichen Erwägungen, die zum Nichteintreten auf sein Rechtsmittel geführt haben. Der Beschwerdeführer führt einzig aus, "die Anträge und Begründungen [seien] identisch mit der Vorinstanz SID Kanton Bern eingereicht und damit nicht weiter zu belegen". Damit verkennt er, dass sich die Begründung aus der Rechtsschrift selber ergeben muss, während pauschale Hinweise auf andere Eingaben bzw. frühere Rechtsschriften oder auf die Akten grundsätzlich unzulässig sind (vgl. BGE 140 III 115 E. 2; 133 II 396 E. 3.2). Folglich zeigt der Beschwerdeführer nicht ansatzweise - geschweige denn in substanziierter Form ( Art. 106 Abs. 2 BGG ) - auf, dass die Vorinstanz das kantonale Recht willkürlich angewendet oder verfassungsmässige Rechte verletzt hat, indem sie auf seine Beschwerde nicht eingetreten ist (vgl. E. 2.1 hiervor).</w:t>
      </w:r>
    </w:p>
    <w:p>
      <w:r>
        <w:rPr>
          <w:b/>
        </w:rPr>
        <w:t>E. 3.1</w:t>
      </w:r>
    </w:p>
    <w:p>
      <w:r>
        <w:t>Im Ergebnis entbehrt die Beschwerde offensichtlich einer genügenden Begründung ( Art. 42 Abs. 2 und Art. 106 Abs. 2 BGG ). Es ist darauf mit Entscheid der Abteilungspräsidentin als Einzelrichterin im vereinfachten Verfahren nach Art. 108 BGG (Abs. 1 lit. b) nicht einzutreten.</w:t>
      </w:r>
    </w:p>
    <w:p>
      <w:r>
        <w:rPr>
          <w:b/>
        </w:rPr>
        <w:t>E. 3.2</w:t>
      </w:r>
    </w:p>
    <w:p>
      <w:r>
        <w:t>Auf die Erhebung von Gerichtskosten wird umständehalber ausnahmsweise verzichtet ( Art. 66 Abs. 1 Satz 2 BGG ). Damit wird das Gesuch des nicht anwaltlich vertretenen Beschwerdeführers, welches einzig auf die Befreiung von der Bezahlung der Gerichtskosten abzielt,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