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499/2017 vom 29. Januar 2018</w:t>
      </w:r>
    </w:p>
    <w:p>
      <w:r>
        <w:t>Bundesgericht, 2018-01-29, FR</w:t>
      </w:r>
    </w:p>
    <w:p>
      <w:r>
        <w:rPr>
          <w:b/>
        </w:rPr>
        <w:t xml:space="preserve">Quelle: </w:t>
      </w:r>
      <w:r>
        <w:t>https://mcp.opencaselaw.ch/entscheid/bger_2C_499_2017</w:t>
      </w:r>
    </w:p>
    <w:p>
      <w:r>
        <w:t>FR: TF 2C 499/2017 du 29 janvier 2018</w:t>
      </w:r>
    </w:p>
    <w:p>
      <w:r>
        <w:t>IT: TF 2C 499/2017 del 29 gennaio 2018</w:t>
      </w:r>
    </w:p>
    <w:p>
      <w:pPr>
        <w:pStyle w:val="Heading2"/>
      </w:pPr>
      <w:r>
        <w:t>Regeste</w:t>
      </w:r>
    </w:p>
    <w:p>
      <w:r>
        <w:t>Cartels; publication d'une décision relative au marché du livre en français | Propriété intellectuelle, concurrence et cartels</w:t>
      </w:r>
    </w:p>
    <w:p>
      <w:pPr>
        <w:pStyle w:val="Heading2"/>
      </w:pPr>
      <w:r>
        <w:t>Erwägungen</w:t>
      </w:r>
    </w:p>
    <w:p>
      <w:r>
        <w:rPr>
          <w:b/>
        </w:rPr>
        <w:t>E. 1</w:t>
      </w:r>
    </w:p>
    <w:p>
      <w:r>
        <w:t>Déposé en temps utile ( art. 100 al. 1 LTF ) et dans les formes légales ( art. 42 al. 2 LTF ) contre l'arrêt rendu le 25 avril 2017 par le Tribunal administratif fédéral confirmant la décision rendue le 1er octobre 2014 par la COMCO de publier la décision de sanction en matière droit des cartels du 27 mai 2013 dans la revue DPC/RWP par la recourante destinataire de la décision, qui a un intérêt digne de protection à son annulation ou sa modification ( art. 89 al. 1 LTF ), de sorte qu'il faut lui reconnaître la qualité pour recourir, le présent recours en matière de droit public est en principe recevable (art. 82, 83 et 86 al. 1 let. a et 90 LTF).</w:t>
      </w:r>
    </w:p>
    <w:p>
      <w:r>
        <w:rPr>
          <w:b/>
        </w:rPr>
        <w:t>E. 2</w:t>
      </w:r>
    </w:p>
    <w:p>
      <w:r>
        <w:t>Constatant que la recourante avait fait valoir différents griefs sans toutefois remettre en cause le principe même d'une publication et affirmant que le choix de principe de publier la décision sanctionnant la recourante n'était pas contraire au droit, l'instance précédente a limité l'examen du litige à la question de savoir si la publication, telle que proposée par l'autorité intimée, était conforme à l' art. 25 al. 4 LCart . Elle a confirmé que l'appartenance de la recourante au groupe C.________, les passages donnant des indications sur son organisation interne structurelle (nombres d'employés, de bureaux et localisation de ses activités) et les dates de conclusion des contrats de distributions pouvaient être publiés sans violer l' art. 25 al. 4 LCart .</w:t>
      </w:r>
    </w:p>
    <w:p>
      <w:r>
        <w:rPr>
          <w:b/>
        </w:rPr>
        <w:t>E. 3</w:t>
      </w:r>
    </w:p>
    <w:p>
      <w:r>
        <w:t>Formulée à titre subsidiaire, la conclusion demandant au Tribunal fédéral d'interdire à la COMCO de publier la décision qu'elle a rendue le 27 mai 2013 relative à l'enquête n° 31-0277 jusqu'à droit connu au fond, n'est pas motivée par la recourante. Il n'y a dès lors pas lieu d'entrer en matière sur cette conclusion. Seules sont motivées et partant seront examinées les conclusions relatives aux passages donnant des indications sur l'organisation interne structurelle de la recourante (nombres d'employés, de bureaux et localisation de ses activités) et les dates de conclusion des contrats de distributions. La publication de la participation de la recourante au groupe C.________ n'est plus litigieuse.</w:t>
      </w:r>
    </w:p>
    <w:p>
      <w:r>
        <w:rPr>
          <w:b/>
        </w:rPr>
        <w:t>E. 4.1</w:t>
      </w:r>
    </w:p>
    <w:p>
      <w:r>
        <w:t>Les autorités en matière de concurrence peuvent publier leurs décisions ( art. 48 al. 1 LCart ). Les publications des autorités en matière de concurrence ne doivent révéler aucun secret d'affaires ( art. 25 al. 4 LCart ).</w:t>
      </w:r>
    </w:p>
    <w:p>
      <w:r>
        <w:rPr>
          <w:b/>
        </w:rPr>
        <w:t>E. 4.2</w:t>
      </w:r>
    </w:p>
    <w:p>
      <w:r>
        <w:t>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(cf. ATF 142 II 268 consid. 5.2.2.1p. 276 et les nombreuses références citées).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II 268 consid. 5.2.3 p. 279, 109 Ib 47 consid. 5c; 103 IV 283 consid. 2b). Il y a dans la règle un intérêt objectif à maintenir secret les parts de marché des entreprises, les chiffres d'affaires, les prix, les rabais et primes, les sources d'approvisionnement, la ATF 142 II 268 consid. 5.2.4 p. 279 et les références citées). L' art. 25 al. 4 LCart ne prévoit aucune pesée des intérêts en présence entre, d'une part, l'intérêt public à la publication de la décision et, d'autre part, le maintien des secrets d'affaires. L'autorité amenée à se prononcer sur les conditions à la reconnaissance d'un secret d'affaires dispose toutefois d'une certaine latitude de jugement imposant de tenir compte des différents intérêts. Si des secrets d'affaires sont reconnus, ils doivent être protégés et les faits les concernant ne pas être publiés. De tels secrets ne sont toutefois pas dévoilés s'ils sont présentés de manière dissimulée ou peu précise. La communication du contenu essentiel peut dès lors intervenir par des résumés, par le caviardage de certains passages et par le remplacement de chiffres exacts par des approximations; il convient alors de prendre en compte, outre la préservation des secrets, le mandat légal de l' art. 48 LCart de publier des décisions compréhensibles (cf. arrêt du TF 2C_1065/2014 du 26 mai 2016 consid. 5.3.2 non publié aux ATF 142 II 268 ).</w:t>
      </w:r>
    </w:p>
    <w:p>
      <w:r>
        <w:rPr>
          <w:b/>
        </w:rPr>
        <w:t>E. 5.1</w:t>
      </w:r>
    </w:p>
    <w:p>
      <w:r>
        <w:t>La recourante est d'avis que le refus de caviarder le nombre d'employés et leur fonction ainsi que l'existence ou non de locaux figurant aux chiffres 96 et 97 de la décision du 27 mai 2013 viole l' art. 25 al. 4 LCart ., Le contenu des chiffres 96 et 97 est le suivant : " la société X.________ SA est une entreprise [...] et un commercial. Elle ne dispose pas de locaux propres, la société étant domiciliée chez une fiduciaire en Suisse qui lui prête les locaux nécessaires ". Elle est d'avis qu'ils donnent des indications sur son organisation interne.</w:t>
      </w:r>
    </w:p>
    <w:p>
      <w:r>
        <w:rPr>
          <w:b/>
        </w:rPr>
        <w:t>E. 5.2</w:t>
      </w:r>
    </w:p>
    <w:p>
      <w:r>
        <w:t>L'instance précédente a reconnu que la qualification de secret de ces éléments, qui ne sont pas notoirement connus, ne pouvait être niée du seul fait de leur évocation lors d'une audition et de leur transcription dans un procès-verbal; en effet, ils n'étaient connus que des seules parties à la procédure et non accessibles au public, à tout le moins pas sans recherche spécifique (arrêt attaqué, consid. 4.2.2.2). Elle a en revanche jugé que l'importance accordée par la recourante à la confidentialité de ces informations était toute relative. En effet, elle n'avait pris aucune mesure utile afin de garantir le secret de ces éléments vis-à-vis des autres parties à la procédure, lesquelles représentaient en l'espèce ses principaux concurrents et ses partenaires commerciaux actuels ou potentiels. Cette manière de procéder trahissait une absence d'intérêt réel et légitime à la préservation des secrets invoqués. Par ailleurs, le passage litigieux ne mentionnait que l'existence de l'emploi d'un commercial, la domiciliation auprès d'une fiduciaire et l'absence de bureau propre. L'instance précédente ne voyait pas en quoi ces indications structurelles révélaient une stratégie économique particulière ou des données économiquement sensibles qui pouvaient avoir une incidence sur le résultat commercial et en conséquence sur la capacité concurrentielle de la recourante.</w:t>
      </w:r>
    </w:p>
    <w:p>
      <w:r>
        <w:rPr>
          <w:b/>
        </w:rPr>
        <w:t>E. 5.3</w:t>
      </w:r>
    </w:p>
    <w:p>
      <w:r>
        <w:t>La recourante affirme pour sa part avoir manifesté à de nombreuses reprises et de manière très claire à la COMCO qu'elle entendait garder ces informations confidentielles et secrètes vis-à-vis du public et de tout tiers actifs sur le marché du livre écrit en français. Selon elle, le fait que ces informations avaient été données lors de l'audition du 10 décembre 2012 ne leur attribuait en rien un caractère notoire ni ne les rendait accessibles au public. A cela s'ajoutait que leur caviardage ne nuirait en rien à la bonne compréhension de la décision du 27 mai 2013.</w:t>
      </w:r>
    </w:p>
    <w:p>
      <w:r>
        <w:rPr>
          <w:b/>
        </w:rPr>
        <w:t>E. 5.4</w:t>
      </w:r>
    </w:p>
    <w:p>
      <w:r>
        <w:t>L'opinion de la recourante ne peut pas être suivie. L'instance précédente n'a en effet nié le caractère secret des éléments en cause ni parce qu'ils seraient de notoriété publique ni parce que le recourante n'aurait pas eu la volonté de les garder secrets, au moins au moment de la publication de la décision. C'est en revanche à bon droit qu'elle a jugé que ces indications structurelles ne révélaient ni une stratégie économique particulière ni des données économiquement sensibles ayant une incidence sur le résultat commercial et en conséquence sur la capacité concurrentielle de la recourante. A supposer que de telles informations aient à tout le moins une petite incidence sur la capacité concurrentielle de la recourante, il y a lieu d'ajouter, comme l'a jugé à juste titre l'instance précédente, que le mandat légal de l' art. 48 LCart de publier des décisions compréhensibles, ici sur le marché du livre, les tâches de diffusion et de distribution et les besoins logistiques dans ce domaine, l'emporte sur l'intérêt de cette dernière à n'en pas divulguer le contenu. En refusant de caviarder ces éléments structurels, l'instance précédente n'a pas violé le droit fédéral.</w:t>
      </w:r>
    </w:p>
    <w:p>
      <w:r>
        <w:rPr>
          <w:b/>
        </w:rPr>
        <w:t>E. 6.1</w:t>
      </w:r>
    </w:p>
    <w:p>
      <w:r>
        <w:t>La recourante soutient que la publication de la date de passation des contrats de distributions constitue un secret d'affaires. Elle réitère à cet égard l'argumentation déjà exposée devant l'instance précédente selon laquelle la date des contrats donne à ses concurrents et à ses partenaires commerciaux des indications quant à la période de négociation et la durée de ceux-ci et, par comparaison avec leurs propres contrats et leurs connaissances du marché, leur permet de connaître la période à laquelle ils seront à renégocier ou renouveler.</w:t>
      </w:r>
    </w:p>
    <w:p>
      <w:r>
        <w:rPr>
          <w:b/>
        </w:rPr>
        <w:t>E. 6.2</w:t>
      </w:r>
    </w:p>
    <w:p>
      <w:r>
        <w:t>L'instance précédente a jugé à bon droit que les dates exposées dans la décision du 27 mai 2013 déterminent uniquement le jour de la conclusion du contrat. Elles ne fournissent par contre aucune indication quant à son contenu ou sa durée. Le Tribunal fédéral, à l'instar de l'instance précédente, ne voit par conséquent pas quelles informations de nature économique les concurrents de la recourante pourraient retirer de ces dates. A cela s'ajoute que la recourante n'a pas non plus fait savoir durant l'audience devant la COMCO qu'elle entendait ne pas divulguer dites dates. En refusant de caviarder ces dernières, l'instance précédente n'a pas violé le droit fédéral.</w:t>
      </w:r>
    </w:p>
    <w:p>
      <w:r>
        <w:rPr>
          <w:b/>
        </w:rPr>
        <w:t>E. 7</w:t>
      </w:r>
    </w:p>
    <w:p>
      <w:r>
        <w:t>Les considérants qui précèdent conduisent au rejet du recours dans la mesure où il est recevable. Succombant, la recourante doit supporter les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