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497/2021 vom 29. März 2022</w:t>
      </w:r>
    </w:p>
    <w:p>
      <w:r>
        <w:t>Bundesgericht, 2022-03-29, FR</w:t>
      </w:r>
    </w:p>
    <w:p>
      <w:r>
        <w:rPr>
          <w:b/>
        </w:rPr>
        <w:t xml:space="preserve">Quelle: </w:t>
      </w:r>
      <w:r>
        <w:t>https://mcp.opencaselaw.ch/entscheid/bger_2C_497_2021</w:t>
      </w:r>
    </w:p>
    <w:p>
      <w:r>
        <w:t>FR: TF 2C 497/2021 du 29 mars 2022</w:t>
      </w:r>
    </w:p>
    <w:p>
      <w:r>
        <w:t>IT: TF 2C 497/2021 del 29 marzo 2022</w:t>
      </w:r>
    </w:p>
    <w:p>
      <w:pPr>
        <w:pStyle w:val="Heading2"/>
      </w:pPr>
      <w:r>
        <w:t>Regeste</w:t>
      </w:r>
    </w:p>
    <w:p>
      <w:r>
        <w:t>Assignation à résidence | Droit de cité et droit des étrangers</w:t>
      </w:r>
    </w:p>
    <w:p>
      <w:pPr>
        <w:pStyle w:val="Heading2"/>
      </w:pPr>
      <w:r>
        <w:t>Erwägungen</w:t>
      </w:r>
    </w:p>
    <w:p>
      <w:r>
        <w:rPr>
          <w:b/>
        </w:rPr>
        <w:t>E. 1</w:t>
      </w:r>
    </w:p>
    <w:p>
      <w:r>
        <w:t>Le Tribunal fédéral examine d'office ( art. 29 al. 1 LTF ) et librement la recevabilité des recours qui lui sont soumis ( ATF 145 I 239 consid. 2).</w:t>
      </w:r>
    </w:p>
    <w:p>
      <w:r>
        <w:rPr>
          <w:b/>
        </w:rPr>
        <w:t>E. 1.1</w:t>
      </w:r>
    </w:p>
    <w:p>
      <w:r>
        <w:t>La voie du recours en matière de droit public est en principe ouverte à l'encontre des décisions cantonales en matière de mesures de contrainte ( art. 82 ss LTF ; cf. ATF 142 I 135 consid. 1.1.3; arrêt 2C_984/2020 du 7 janvier 2021 consid. 1.1).</w:t>
      </w:r>
    </w:p>
    <w:p>
      <w:r>
        <w:rPr>
          <w:b/>
        </w:rPr>
        <w:t>E. 1.2</w:t>
      </w:r>
    </w:p>
    <w:p>
      <w:r>
        <w:t>Dirigé contre un arrêt final ( art. 90 LTF ) rendu en dernière instance cantonale par une autorité judiciaire supérieure ( art. 86 al. 1 let . d et al. 2 LTF), le recours a été déposé en temps utile ( art. 100 al. 1 LTF ) par le destinataire de l'acte attaqué. S'agissant d'un recours contre un arrêt cantonal confirmant des jugements d'irrecevabilité, le recourant, qui a participé à la procédure devant l'autorité précédente, a un intérêt digne de protection au sens de l' art. 89 al. 1 LTF à se plaindre que l'arrêt confirmant lesdits jugements d'irrecevabilité viole le droit fédéral, de sorte qu'il faut lui reconnaître la qualité pour recourir. Le recours est, dès lors, recevable sur ce point.</w:t>
      </w:r>
    </w:p>
    <w:p>
      <w:r>
        <w:rPr>
          <w:b/>
        </w:rPr>
        <w:t>E. 1.3</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Lorsque celle-ci confirme une décision d'irrecevabilité, les motifs développés dans le mémoire de recours doivent porter sur la question de la recevabilité traitée par l'instance précédente à l'exclusion du fond du litige (cf. ATF 123 V 335 consid. 1b; arrêt 2C_225/2020 du 18 septembre 2020 consid. 1.6.1).</w:t>
      </w:r>
    </w:p>
    <w:p>
      <w:r>
        <w:rPr>
          <w:b/>
        </w:rPr>
        <w:t>E. 2.1</w:t>
      </w:r>
    </w:p>
    <w:p>
      <w:r>
        <w:t>Saisi d'un recours en matière de droit public, le Tribunal fédéral contrôle librement le respect du droit fédéral et du droit international (cf. art. 106 al. 1 LTF ; arrêt 2C_887/2020 du 18 août 2021 consid. 2.1). Sous réserve des cas non pertinents visés à l' art. 95 let . c à e LTF, le recours en matière de droit public ne peut pas être formé pour violation du droit cantonal en tant tel. Il est néanmoins possible de faire valoir que l'application du droit cantonal consacre une violation du droit fédéral, en particulier qu'elle est arbitraire au sens de l' art. 9 Cst. ou contraire à un autre droit fondamental (cf. ATF 143 I 321 consid. 6.1). Le Tribunal fédéral n'examine toutefois le moyen tiré de la violation de droits fondamentaux et du droit cantonal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 En l'espèce, le recourant complète librement l'état de fait retenu dans l'arrêt attaqué, sans expliquer précisément en quoi l'autorité précédente aurait établi les faits de manière arbitraire. Il en va notamment ainsi lorsqu'il allègue que les autorités cantonales ne lui ont jamais délivré de carte d'annonce de sortie lors de sa libération immédiate prononcée par le Tribunal de police le 30 octobre 2020. Le Tribunal fédéral ne peut par conséquent pas tenir compte de ses ajouts et statuera en se fondant sur les faits qui ressortent de l'arrêt entrepris. Pour le surplus, la pièce postérieure à l'arrêt attaqué produite par le recourant, à savoir l'ordonnance du 19 juillet 2021 de la Chambre pénale d'appel et de révision de la Cour de justice du canton de Genève ordonnant sa mise en liberté, ne saurait être prise en considération. Cette pièce, de même que les faits qui en découlent, sont nouveaux et, partant, irrecevables.</w:t>
      </w:r>
    </w:p>
    <w:p>
      <w:r>
        <w:rPr>
          <w:b/>
        </w:rPr>
        <w:t>E. 3</w:t>
      </w:r>
    </w:p>
    <w:p>
      <w:r>
        <w:t>Dans un grief formel qu'il convient d'examiner en premier lieu ( ATF 141 V 557 consid. 3), le recourant se plaint d'une violation de son droit d'être entendu, au sens de l' art. 29 al. 2 Cst. , en relation avec l'établissement des faits par la Cour de justice. Selon lui, cette autorité aurait pris en compte un jugement qu'elle avait rendu le 29 novembre 2011 dans une procédure à laquelle le recourant était partie, sans toutefois l'aviser que ledit jugement avait été versé au dossier et sans qu'il ait pu s'exprimer sur son contenu.</w:t>
      </w:r>
    </w:p>
    <w:p>
      <w:r>
        <w:rPr>
          <w:b/>
        </w:rPr>
        <w:t>E. 3.1</w:t>
      </w:r>
    </w:p>
    <w:p>
      <w:r>
        <w:t>Le droit d'être entendu de l' art. 29 al. 2 Cst. comprend le droit pour l'intéressé de s'exprimer sur tous les éléments pertinents avant qu'une décision touchant sa situation juridique ne soit rendue ( ATF 142 II 218 consid. 2.3). Ainsi, l'autorité judiciaire qui envisage de fonder sa décision sur des nouvelles pièces est tenue d'en aviser les parties et de les inviter à s'exprimer à leur sujet sous peine de violer leur droit d'être entendu ( ATF 143 IV 380 consid. 1.1). Il n'y a cependant pas lieu d'administrer des preuves sur des faits notoires ou, autrement dit, sur ceux dont l'existence est certaine au point d'emporter la conviction du juge, qu'il s'agisse de faits connus de manière générale du public ou seulement du juge (cf. ATF 143 IV 380 consid. 1.1.1).</w:t>
      </w:r>
    </w:p>
    <w:p>
      <w:r>
        <w:rPr>
          <w:b/>
        </w:rPr>
        <w:t>E. 3.2</w:t>
      </w:r>
    </w:p>
    <w:p>
      <w:r>
        <w:t>En l'espèce, la Cour de justice se réfère explicitement dans l'arrêt attaqué à un jugement qu'elle a rendu le 29 novembre 2011 et qui portait sur la conformité de la détention administrative du recourant dans l'attente de son renvoi vers l'Algérie ou la Tunisie. Les éléments de ce jugement repris dans l'arrêt attaqué mettent principalement en exergue l'existence d'un acte de naissance attestant de la nationalité algérienne du recourant, des indices que ce dernier avait grandi et avait était socialisé en Algérie, des déclarations de l'intéressé selon lesquelles il était de nationalité tunisienne et algérienne mais que l'Algérie était son pays de socialisation, et des tractations en cours tant avec les autorités tunisiennes qu'algériennes en vue de son refoulement. Contrairement à ce qu'allègue le recourant, l'autorité précédente n'était pas tenue de l'informer de la teneur du jugement du 29 novembre 2011 dans la mesure où, étant lui-même destinataire dudit jugement, il ne pouvait en ignorer la teneur. Au demeurant, les éléments dudit jugement mentionnés dans l'arrêt attaqué ne font que corroborer d'autres pièces du dossier en possession des juges précédents au moment de rendre l'arrêt attaqué. En effet, le recourant a expressément reconnu, dans le cadre de la procédure devant le Tribunal administratif ayant abouti à l'arrêt du 17 août 2020, qu'il possédait des documents d'identité algériens et qu'il était également de nationalité tunisienne. Par ailleurs, l'arrêt attaqué mentionne qu'en novembre 2020, les autorités tunisiennes ont identifié le recourant et étaient disposées à lui délivrer un laissez-passer. On ne voit dès lors pas en quoi l'administration du jugement du 29 novembre 2011, dont le contenu ne fait que corroborer plusieurs autres pièces du dossier, dont les propres déclarations du recourant, était susceptible de modifier la conviction des juges précédents ou d'influer sur le sort de la cause. Partant, la Cour de justice n'avait pas à donner communication de l'arrêt du 29 novembre 2011 au recourant et on ne discerne aucune violation de l' art. 29 al. 2 Cst. Ce grief est donc mal fondé.</w:t>
      </w:r>
    </w:p>
    <w:p>
      <w:r>
        <w:rPr>
          <w:b/>
        </w:rPr>
        <w:t>E. 4</w:t>
      </w:r>
    </w:p>
    <w:p>
      <w:r>
        <w:t>Le litige porte sur le point de savoir si c'est à bon droit que la Cour de justice a rejeté les recours du recourant dirigés contre les jugements du Tribunal administratif du 13 novembre 2020 et du 27 novembre 2020 déclarant irrecevables les recours de l'intéressé contre le refus des autorités administratives de donner suite à ses requêtes tendant à ce qu'une assignation à résidence soit prononcée à son encontre.</w:t>
      </w:r>
    </w:p>
    <w:p>
      <w:r>
        <w:rPr>
          <w:b/>
        </w:rPr>
        <w:t>E. 4.1</w:t>
      </w:r>
    </w:p>
    <w:p>
      <w:r>
        <w:t>Dans son arrêt du 11 mai 2021, la Cour de justice a indiqué que l'assignation à un lieu de résidence, au sens de l' art. 74 al. 1 LEI , est une disposition rédigée en la forme potestative qui ne confère pas de droit au justiciable. Le prononcé d'une telle mesure de contrainte ne constituait ainsi pas un droit et ne procurerait aucun avantage de nature économique, matérielle ou idéale au recourant. Dès lors, quand bien même le recourant remplissait toutes les conditions matérielles posées par cette disposition, il ne disposerait en aucun cas d'un droit à ce qu'elle soit prononcée. Il serait d'ailleurs difficilement concevable qu'une mesure de contrainte, qui vise à restreindre les droits de la personne concernée, puisse être perçue comme une mesure visant à la protéger et à laquelle elle aurait un droit.</w:t>
      </w:r>
    </w:p>
    <w:p>
      <w:r>
        <w:rPr>
          <w:b/>
        </w:rPr>
        <w:t>E. 4.2</w:t>
      </w:r>
    </w:p>
    <w:p>
      <w:r>
        <w:t>Selon le recourant, l' art. 74 al. 1 LEI consacrerait un droit à se voir assigner un lieu de résidence, de sorte que c'est à tort que les autorités cantonales ont renoncé à prononcer une telle mesure.</w:t>
      </w:r>
    </w:p>
    <w:p>
      <w:r>
        <w:rPr>
          <w:b/>
        </w:rPr>
        <w:t>E. 4.3</w:t>
      </w:r>
    </w:p>
    <w:p>
      <w:r>
        <w:t>A teneur de l' art. 74 al. 1 LEI ,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(let. a); lorsqu'il est frappé d'une décision de renvoi ou d'expulsion entrée en force et que des éléments concrets font redouter qu'il ne quittera pas la Suisse dans le délai prescrit ou qu'il n'a pas respecté le délai qui lui était imparti pour quitter le territoire (let b.); ou encore lorsque l'exécution du renvoi ou de l'expulsion a été reportée conformément à l' art. 69 al. 3 LEI (let. c). La mesure d'assignation d'un lieu de résidence, respectivement d'interdiction de pénétrer dans une région déterminée doit au demeurant respecter le principe de proportionnalité ( ATF 142 II 1 consid. 2.3 et les références). L'assignation à résidence figure à la section 5 du chapitre 10 de la LEI consacrée aux mesures de contrainte. Il s'agit ainsi d'une mesure privant la personne qui se la voit imposer de sa liberté de mouvement et à laquelle l'étranger doit impérativement se soumettre, même contre son gré (cf. Chatton/Merz, in Code annoté de droit des migrations, vol. II: Loi sur les étrangers [LEtr], 2017 no 3 et 5 ad art. 74 LEtr). Une mesure de contrainte ne saurait ainsi être conçue comme un droit auquel la personne qui en remplirait les conditions pourrait prétendre. Le texte de l' art. 74 al. 1 LEI le démontre du reste. Ainsi, cette mesure est conçue comme une faculté reconnue à l'autorité cantonale compétente, qui dispose d'un large pouvoir d'appréciation et qui ne peut la prononcer que dans le respect du principe de proportionnalité (Chatton/Merz, op. cit. no 10 ad art. 74 LEtr). Le législateur a en effet renoncé à exiger le prononcé automatique de mesures de contrainte (cf. le classement de la Motion Brand 13.3913 "Loi sur les étrangers. Durcir les mesures de restriction de la liberté de mouvement", qui visait à modifier l'article 74 al. 1 LEI pour imposer l'assignation à un lieu de résidence lorsque les conditions étaient remplies).</w:t>
      </w:r>
    </w:p>
    <w:p>
      <w:r>
        <w:rPr>
          <w:b/>
        </w:rPr>
        <w:t>E. 4.4</w:t>
      </w:r>
    </w:p>
    <w:p>
      <w:r>
        <w:t>Il découle de ce qui précède que si une autorité renonce à prononcer une assignation à résidence, la personne concernée demeure libre de restreindre volontairement sa liberté de mouvement en choisissant de rester dans un territoire donné, mais elle n'a aucun droit au prononcé d'une telle assignation. Ainsi, les développements du recourant visant à établir qu'il remplit les conditions visées par cette disposition, et notamment celles de l' art. 69 al. 3 LEI auquel renvoie l' art. 74 al. 1 let . c LEI, ou qu'une demande d'admission provisoire aurait dû être adressée au SEM, au sens de l' art. 83 LEI , sont ainsi sans pertinence. Dès lors, la Cour de justice n'a pas violé l' art. 74 al. 1 LEI en confirmant, que faute de droit à se voir assigner à résidence, le recourant ne possédait pas la qualité pour recourir contre la décision du Commissaire de police refusant de prononcer une telle assignation. Le grief est par conséquent mal fondé.</w:t>
      </w:r>
    </w:p>
    <w:p>
      <w:r>
        <w:rPr>
          <w:b/>
        </w:rPr>
        <w:t>E. 5</w:t>
      </w:r>
    </w:p>
    <w:p>
      <w:r>
        <w:t>Le recourant reproche également aux juges précédents d'avoir violé l'art. 12B de la loi genevoise d'application de la loi fédérale sur les étrangers du 16 juin 1988 (LaLEtr; RS/GE F 2 10) en confirmant le refus des autorités cantonales d'accéder à sa demande d'assignation territoriale. Dans la mesure toutefois où le recourant n'invoque la violation d'aucun droit fondamental et ne fait pas non plus valoir que l'application de l'art. 12B LaLEtr par les autorités cantonales serait arbitraire, son grief ne répond pas aux exigences accrues de motivation de l' art. 106 al. 2 LTF (cf. supra consid. 2.1). Au surplus, le présent litige porte uniquement sur la question de l'entrée en matière sur les recours de l'intéressé visant à obtenir le prononcé d'une mesure de contrainte au sens de l' art. 74 LEI , de sorte que ce grief dépasse l'objet du litige et n'a donc pas à être examiné (cf. supra consid. 1.3). En tout état de cause, l'autorité précédente avait d'emblée relevé que cette critique ne figurait pas dans les demandes initiales du recourant et que l'art. 12B LaLEtr ne trouvait pas à s'appliquer en l'espèce. Le recourant ne saurait donc a fortiori s'en plaindre en première instance devant le Tribunal fédéral.</w:t>
      </w:r>
    </w:p>
    <w:p>
      <w:r>
        <w:rPr>
          <w:b/>
        </w:rPr>
        <w:t>E. 6</w:t>
      </w:r>
    </w:p>
    <w:p>
      <w:r>
        <w:t>Le recourant a sollicité le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