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2C_496/2018 vom 21. September 2018</w:t>
      </w:r>
    </w:p>
    <w:p>
      <w:r>
        <w:t>Bundesgericht, 2018-09-21, FR</w:t>
      </w:r>
    </w:p>
    <w:p>
      <w:r>
        <w:rPr>
          <w:b/>
        </w:rPr>
        <w:t xml:space="preserve">Quelle: </w:t>
      </w:r>
      <w:r>
        <w:t>https://mcp.opencaselaw.ch/entscheid/bger_2C_496_2018</w:t>
      </w:r>
    </w:p>
    <w:p>
      <w:r>
        <w:t>FR: TF 2C_496/2018 du 21 septembre 2018</w:t>
      </w:r>
    </w:p>
    <w:p>
      <w:r>
        <w:t>IT: TF 2C_496/2018 del 21 settembre 2018</w:t>
      </w:r>
    </w:p>
    <w:p>
      <w:pPr>
        <w:pStyle w:val="Heading2"/>
      </w:pPr>
      <w:r>
        <w:t>Erwägungen</w:t>
      </w:r>
    </w:p>
    <w:p>
      <w:r>
        <w:rPr>
          <w:b/>
        </w:rPr>
        <w:t>E. 1</w:t>
      </w:r>
    </w:p>
    <w:p>
      <w:r>
        <w:t>Le recours ne tombe pas sous le coup de l' art. 83 let . c ch. 2 LTF, dès lors que le recourant peut se prévaloir d'un droit à une autorisation de séjour pour vivre avec son épouse et sa fille, titulaires d'une autorisation d'établissement, sur la base des art. 43 de la loi fédérale du 16 décembre 2005 sur les étrangers (LEtr; RS 142.20), 8 CEDH et 13 Cst. La voie du recours en matière de droit public est par conséquent ouverte. La question de savoir si l'autorisation de séjour doit être prolongée relève du fond et non de la recevabilité (cf. ATF 139 I 330 consid. 1.1 p. 332). Le recours constitutionnel subsidiaire est par conséquent irrecevable.</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le destinataire de l'arrêt entrepris qui a un intérêt digne de protection à son annulation ou à sa modification et a partant la qualité pour recourir ( art. 89 al. 1 LTF ). Il est donc recevable.</w:t>
      </w:r>
    </w:p>
    <w:p>
      <w:r>
        <w:t>Aucun fait nouveau ni preuve nouvelle ne peut être présenté à moins de résulter de la décision de l'autorité précédente ( art. 99 al. 1 LTF ). Le rapport médical daté du 25 mai 2018 produit par le recourant à l'appui de ses conclusions est postérieur à l'arrêt attaqué. Il ne peut pas être pris en considération.</w:t>
      </w:r>
    </w:p>
    <w:p>
      <w:r>
        <w:rPr>
          <w:b/>
        </w:rPr>
        <w:t>E. 2</w:t>
      </w:r>
    </w:p>
    <w:p>
      <w:r>
        <w:t>Dans un premier grief, le recourant soutient en substance que, même en additionnant les peines prononcées à son encontre, ce qui n'est pas admis par la jurisprudence, la condition de l'art. 62 al. 1 let. b LEtr autorisant la révocation d'une autorisation lorsque l'étranger a été condamné à une peine privative de liberté de longue durée n'est pas remplie, puisque le total des peines s'élève à 280 jours. Il perd de vue que l'instance précédente a fait application, à bon droit, de l' art. 62 al. 1 let . c LEtr eu égard à la répétition d'atteintes à l'ordre juridique perpétrées avec régularité durant plusieurs années par lui-même. Ce grief est par conséquent inopérant.</w:t>
      </w:r>
    </w:p>
    <w:p>
      <w:r>
        <w:rPr>
          <w:b/>
        </w:rPr>
        <w:t>E. 3</w:t>
      </w:r>
    </w:p>
    <w:p>
      <w:r>
        <w:t>Invoquant l' art. 8 CEDH et la protection de la vie de famille ainsi que l' art. 29 al. 2 Cst. et le droit à une décision motivée, le recourant se plaint de la manière dont l'instance précédente a procédé à la pesée des intérêts en présence et à l'examen de la proportionnalité de la mesure. L'instance précédente ayant dûment et correctement exposé le droit applicable, il peut être renvoyé sur ce point aux considérants de l'arrêt attaqué.</w:t>
      </w:r>
    </w:p>
    <w:p>
      <w:r>
        <w:t>Le recourant se plaint à bon droit de ce que l'exigibilité de son renvoi de Suisse aurait un effet sur l'ensemble de la famille, soit sur son épouse, de nationalité serbe, et sur sa fille, déjà entrée à la crèche, qui n'a pas été examiné ni</w:t>
      </w:r>
    </w:p>
    <w:p>
      <w:r>
        <w:t>a fortiori suffisamment été pris en considération dans la pesée des intérêts menée par l'instance précédente. Le considérant 4 de l'arrêt attaqué ne contient en effet pas d'examen de la proportionnalité de la mesure d'éloignement du recourant eu égard à la situation de son épouse et de sa fille, notamment dans l'hypothèse où le départ de celles-ci ne serait pas exigible. Le grief est admis.</w:t>
      </w:r>
    </w:p>
    <w:p>
      <w:r>
        <w:rPr>
          <w:b/>
        </w:rPr>
        <w:t>E. 4</w:t>
      </w:r>
    </w:p>
    <w:p>
      <w:r>
        <w:t>Les considérants qui précèdent conduisent à l'admission du recours en matière de droit public et à l'irrecevabilité du recours constitutionnel subsidiaire. L'arrêt rendu le 4 mai 2018 est annulé. La cause est renvoyée à l'instance précédente pour instruction complémentaire et nouvelle décision procédant à une pesée complète des intérêts en présence.</w:t>
      </w:r>
    </w:p>
    <w:p>
      <w:r>
        <w:t>Bien qu'il succombe, le Service de la population, qui ne défend pas d'intérêt patrimonial, ne peut se voir imposer les frais de justice ( art. 66 al. 1 et 4 LTF ). Ayant obtenu gain de cause avec l'aide d'un mandataire, le recourant a droit à des dépens ( art. 68 al. 1 et 2 LTF ), qu'il convient de mettre à la charge du canton de Vaud. La demande d'assistance judiciaire formée par le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