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496/2017 vom 29. Mai 2017</w:t>
      </w:r>
    </w:p>
    <w:p>
      <w:r>
        <w:t>Bundesgericht, 2017-05-29, IT</w:t>
      </w:r>
    </w:p>
    <w:p>
      <w:r>
        <w:rPr>
          <w:b/>
        </w:rPr>
        <w:t xml:space="preserve">Quelle: </w:t>
      </w:r>
      <w:r>
        <w:t>https://mcp.opencaselaw.ch/entscheid/bger_2C_496_2017</w:t>
      </w:r>
    </w:p>
    <w:p>
      <w:r>
        <w:t>FR: TF 2C 496/2017 du 29 mai 2017</w:t>
      </w:r>
    </w:p>
    <w:p>
      <w:r>
        <w:t>IT: TF 2C 496/2017 del 29 maggio 2017</w:t>
      </w:r>
    </w:p>
    <w:p>
      <w:pPr>
        <w:pStyle w:val="Heading2"/>
      </w:pPr>
      <w:r>
        <w:t>Regeste</w:t>
      </w:r>
    </w:p>
    <w:p>
      <w:r>
        <w:t>Appalti pubblici | Diritto fondamentale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esamina d'ufficio e con piena cognizione la sua competenza ( art. 29 cpv. 1 LTF ), rispettivamente l'ammissibilità dei gravami che gli vengono sottoposti ( DTF 140 I 252 consid. 1 pag. 254; 139 V 42 consid. 1 pag. 44).</w:t>
      </w:r>
    </w:p>
    <w:p>
      <w:r>
        <w:rPr>
          <w:b/>
        </w:rPr>
        <w:t>E. 2.1</w:t>
      </w:r>
    </w:p>
    <w:p>
      <w:r>
        <w:t>Giusta l' art. 100 cpv. 1 LTF il ricorso contro una decisione dev'essere depositato presso il Tribunale federale entro 30 giorni dalla notificazione del testo integrale della decisione querelata, termine che, adempiute determinate condizioni, inizia a decorrere dal giorno successivo alla notificazione ( art. 44 cpv. 1 LTF ). Secondo l' art. 46 cpv. 1 lett. a LTF , i termini stabiliti in giorni dalla legge o dal giudice sono sospesi dal settimo giorno precedente la Pasqua al settimo giorno successivo alla Pasqua incluso. L' art. 47 cpv. 1 LTF osserva che i termini stabiliti dalla legge non possono essere prorogati e l' art. 48 cpv. 1 LTF precisa che gli atti scritti devono essere consegnati al Tribunale federale oppure all'indirizzo di questo alla posta svizzera (...) al più tardi l'ultimo giorno del termine.</w:t>
      </w:r>
    </w:p>
    <w:p>
      <w:r>
        <w:rPr>
          <w:b/>
        </w:rPr>
        <w:t>E. 2.2</w:t>
      </w:r>
    </w:p>
    <w:p>
      <w:r>
        <w:t>Come emerge dai documenti forniti dalla ricorrente, la sentenza cantonale, datata 30 marzo 2017, è stata intimata al suo rappresentante il 3 aprile 2017 e ritirata allo sportello il 4 aprile 2017. In applicazione dell' art. 46 cpv. 1 lett. a LTF , il termine di ricorso, computato dal 5 aprile 2017 ( art. 44 cpv. 1 LTF ), è stato sospeso dal 9 aprile 2017 al 23 aprile 2017 incluso e veniva pertanto a scadere il venerdì 19 maggio 2017. Il presente gravame, datato martedì 23 maggio 2017 e spedito il medesimo giorno, è pertanto manifestamente tardivo e, di conseguenza, inammissibile.</w:t>
      </w:r>
    </w:p>
    <w:p>
      <w:r>
        <w:rPr>
          <w:b/>
        </w:rPr>
        <w:t>E. 2.3</w:t>
      </w:r>
    </w:p>
    <w:p>
      <w:r>
        <w:t>A titolo abbondanziale va osservato che nel gravame nulla viene addotto che potrebbe essere interpretato come una domanda di restituzione dei termini ai sensi dell' art. 50 cpv. 1 LTF (al riguardo vedasi DTF 119 II 86 consid. 2a pag. 87), senza dimenticare che per prassi costante, colui che fa capo a un avvocato che rappresenta i suoi interessi dinanzi alle autorità risponde degli atti di costei e di quelli dei suoi ausiliari come se fossero i propri. Altrimenti detto, il comportamento del patrocinatore e quello dei suoi ausiliari va ascritto alla parte ricorrente ( DTF 114 Ib 67 consid. 2e pag. 73, confermata di recente nella sentenza 1C_175/2016 del 31 gennaio 2017 consid. 2.4).</w:t>
      </w:r>
    </w:p>
    <w:p>
      <w:r>
        <w:rPr>
          <w:b/>
        </w:rPr>
        <w:t>E. 3</w:t>
      </w:r>
    </w:p>
    <w:p>
      <w:r>
        <w:t>Per i motivi illustrati, il gravame si avvera pertanto manifestamente inammissibile e va deciso secondo la procedura semplificata dell' art. 108 cpv. 1 lett. a LTF .</w:t>
      </w:r>
    </w:p>
    <w:p>
      <w:r>
        <w:rPr>
          <w:b/>
        </w:rPr>
        <w:t>E. 4</w:t>
      </w:r>
    </w:p>
    <w:p>
      <w:r>
        <w:t>Le spese seguono la soccombenza ( art. 65 e 66 cpv. 1 LTF ). Non si assegnano ripetibili ad autorità vincenti ( art. 68 cpv. 3 LTF ). Non è dovuta un'indennità per ripetibili alla B.________ SA, che non è stata invitata a determinarsi e non è quindi incorsa in spese necessarie suscettibili di essere risarcite ( art. 68 cpv.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