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2C_492/2011 vom 6. Dezember 2011</w:t>
      </w:r>
    </w:p>
    <w:p>
      <w:r>
        <w:t>Bundesgericht, 2011-12-06, FR</w:t>
      </w:r>
    </w:p>
    <w:p>
      <w:r>
        <w:rPr>
          <w:b/>
        </w:rPr>
        <w:t xml:space="preserve">Quelle: </w:t>
      </w:r>
      <w:r>
        <w:t>https://mcp.opencaselaw.ch/entscheid/bger_2C_492_2011</w:t>
      </w:r>
    </w:p>
    <w:p>
      <w:r>
        <w:t>FR: TF 2C_492/2011 du 6 décembre 2011</w:t>
      </w:r>
    </w:p>
    <w:p>
      <w:r>
        <w:t>IT: TF 2C_492/2011 del 6 dicembre 2011</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cependant recevable contre les décisions révoquant une autorisation d'établissement ou constatant qu'une autorisation de ce type est caduque, parce qu'il existe en principe un droit au renouvellement de cette autorisation ( ATF 135 II 1 consid. 1.2.1 p. 4).</w:t>
      </w:r>
    </w:p>
    <w:p>
      <w:r>
        <w:rPr>
          <w:b/>
        </w:rPr>
        <w:t>E. 1.2</w:t>
      </w:r>
    </w:p>
    <w:p>
      <w:r>
        <w:t>En sa qualité de ressortissant français, le recourant peut également prétendre à l'octroi d'une autorisation de séjour en Suisse, en vertu du droit à la libre circulation que lui confère l'Accord du 1er juin 1999 entre la Confédération suisse, d'une part, et la Communauté européenne et ses Etats membres, d'autre part, sur la libre circulation des personnes (ALCP; RS 0142.112.681; ATF 129 II 249 consid. 4 p. 258 ss, spécialement consid. 4.2 p. 259 et 4.3 p. 260).</w:t>
      </w:r>
    </w:p>
    <w:p>
      <w:r>
        <w:rPr>
          <w:b/>
        </w:rPr>
        <w:t>E. 1.3</w:t>
      </w:r>
    </w:p>
    <w:p>
      <w:r>
        <w:t>En raison de l'effet dévolutif du recours déposé auprès du Tribunal cantonal ( ATF 136 II 101 consid. 1.2 p. 104 et les arrêts cités), les conclusions du recourant tendant à l'annulation de la décision de l'Office cantonal de la population du 13 août 2009 sont irrecevables.</w:t>
      </w:r>
    </w:p>
    <w:p>
      <w:r>
        <w:rPr>
          <w:b/>
        </w:rPr>
        <w:t>E. 1.4</w:t>
      </w:r>
    </w:p>
    <w:p>
      <w:r>
        <w:t>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l'arrêt attaqué qui a qualité pour recourir au sens de l' art. 89 al. 1 LTF , le recours en matière de droit public est par conséquent recevable.</w:t>
      </w:r>
    </w:p>
    <w:p>
      <w:r>
        <w:rPr>
          <w:b/>
        </w:rPr>
        <w:t>E. 2</w:t>
      </w:r>
    </w:p>
    <w:p>
      <w:r>
        <w:t>Le recourant voit une violation du droit d'être entendu dans le fait qu'il n'a pas été auditionné par l'autorité administrative et les autorités judiciaires.</w:t>
      </w:r>
    </w:p>
    <w:p>
      <w:r>
        <w:t>Toutefois, il n'invoque aucune violation d'une disposition constitutionnelle ou cantonale et n'explique pas davantage sur quels points il aurait dû être entendu oralement. Son grief est donc irrecevable, faute d'être motivé conformément aux exigences de l' art. 106 al. 2 LTF et de la jurisprudence (cf. ATF 134 I 23 consid. 5.2 p. 30 et les références citées). Au demeurant, il a pu s'exprimer largement dans les écritures qu'il a produites devant les différentes autorités cantonales et l' art. 29 al. 2 Cst. ne confère pas un droit d'être entendu oralement ( ATF 134 I 140 consid. 5.3 p. 148).</w:t>
      </w:r>
    </w:p>
    <w:p>
      <w:r>
        <w:rPr>
          <w:b/>
        </w:rPr>
        <w:t>E. 3</w:t>
      </w:r>
    </w:p>
    <w:p>
      <w:r>
        <w:t>De nationalité française et séjournant en Suisse depuis plus de quinze ans, le recourant se plaint d'un violation des art. 5 al. 1 Annexe I ALCP et 63 LEtr. Il estime aussi que la révocation de son autorisation d'établissement est contraire au principe de la proportionnalité et à l' art. 8 CEDH .</w:t>
      </w:r>
    </w:p>
    <w:p>
      <w:r>
        <w:rPr>
          <w:b/>
        </w:rPr>
        <w:t>E. 3.1</w:t>
      </w:r>
    </w:p>
    <w:p>
      <w:r>
        <w:t>L'ALCP ne réglementant pas le retrait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w:t>
      </w:r>
    </w:p>
    <w:p>
      <w:r>
        <w:rPr>
          <w:b/>
        </w:rPr>
        <w:t>E. 3.2</w:t>
      </w:r>
    </w:p>
    <w:p>
      <w:r>
        <w:t>Aux termes de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encore s'il a été condamné à une peine privative de liberté de longue durée, soit à une peine dépassant un an d'emprisonnement ( ATF 135 II 377 consid. 4.2 p. 380 ss), ou a fait l'objet d'une mesure pénale prévue aux art. 64 ou 61 CP (cf. art. 62 let. b LEtr, auquel renvoie l'art. 63 al. 1 let. a LEtr; arrêt précité consid. 2.1 in fine).</w:t>
      </w:r>
    </w:p>
    <w:p>
      <w:r>
        <w:t>Il est en l'espèce constant qu'au vu de la condamnation du recourant à huit ans de réclusion pour infractions à l'intégrité sexuelle (viol au sens de l' art. 190 CP , contrainte sexuelle au sens de l' art. 189 CP et actes d'ordre sexuel avec une enfant selon l' art. 187 CP ), le recourant a très gravement attenté à la sécurité et à l'ordre publics en Suisse au sens de l'art. 63 al. 2 LEtr (cf. ATF 137 II 297 consid. 3.3 p. 303). Reste à déterminer si la révocation de son autorisation d'établissement se justifie sous l'angle de l'ALCP et du principe de la proportionnalité.</w:t>
      </w:r>
    </w:p>
    <w:p>
      <w:r>
        <w:rPr>
          <w:b/>
        </w:rPr>
        <w:t>E. 4.1</w:t>
      </w:r>
    </w:p>
    <w:p>
      <w:r>
        <w:t>Comme l'ensemble des droits octroyés par l'ALCP, le droit de demeurer en Suisse pour y exercer une activité lucrative ne peut être limité que par des mesures d'ordre ou de sécurité publics, au sens de l' art. 5 al. 1 annexe I ALCP , dont le cadre et les modalités sont définis par les trois directives citées, la plus importante étant la directive 64/221/CEE, ainsi que par la jurisprudence y relative de la Cour de justice des Communautés européennes (ci-après: la Cour de justice ou CJCE) rendue avant la signature de l'accord le 21 juin 1999 (cf. art. 5 al. 2 annexe I ALCP en relation avec l' art. 16 al. 2 ALCP ; au sujet de la prise en considération des arrêts de la Cour de justice postérieurs à cette date, cf. ATF 136 II 5 consid. 3.4 p. 12 et les références citées).</w:t>
      </w:r>
    </w:p>
    <w:p>
      <w:r>
        <w:t>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136 II 5 consid. 4.2 p. 20; 134 II 10 consid. 4.3 p. 24; 130 II 176 consid. 3.4.1, 4.2 et 4.3.1 et les références).</w:t>
      </w:r>
    </w:p>
    <w:p>
      <w:r>
        <w:t>La jurisprudence admet néanmoins que le seul fait du comportement passé de la personne concernée puisse réunir les conditions de pareille menace actuelle ( ATF 130 II 176 consid. 3.4.1 p. 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en particulier de la nature et de l'importance du bien juridique menacé, ainsi que de la gravité de l'atteinte qui pourrait y être portée. L'évaluation de ce risque sera d'autant plus rigoureuse que le bien juridique menacé est important ( ATF 136 II 5 consid. 4.2 p. 20; 130 II 493 consid. 3.3 p. 499 et les références).</w:t>
      </w:r>
    </w:p>
    <w:p>
      <w:r>
        <w:t>A cet égard,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2C_473/2011 du 17 octobre 2011, consid. 2.2; 2A.308/2004 du 4 octobre 2004 consid. 3.3 et les références).</w:t>
      </w:r>
    </w:p>
    <w:p>
      <w:r>
        <w:rPr>
          <w:b/>
        </w:rPr>
        <w:t>E. 4.2</w:t>
      </w:r>
    </w:p>
    <w:p>
      <w:r>
        <w:t>Le recourant fait valoir que les actes qui lui ont été imputés remontent à plus de cinq ans et que son comportement a été exemplaire depuis. Il bénéficie par ailleurs, depuis le 15 septembre 2009, d'un régime de travail externe à 50%, l'autre 50% étant couvert par l'octroi d'une demi-rente AI, ce qui prouverait qu'il ne représente pas un danger pour l'ordre public. Le prétendu risque de récidive serait en outre juridiquement infondé et ne reposerait sur aucun avis médical.</w:t>
      </w:r>
    </w:p>
    <w:p>
      <w:r>
        <w:t>De son côté, la juridiction cantonale a estimé que la menace pour l'ordre public subsistait, dès lors que les actes à l'origine de la condamnation du recourant avaient commencé en 1994, lorsque la victime était âgée de cinq ans, et s'étaient poursuivis jusqu'à l'intervention de la justice, en 2005. Par ailleurs, compte tenu de la personnalité du recourant, qui avait toujours nié ou minimisé les faits, ce dernier présentait un risque concret de récidive. Ce risque l'emportait par ailleurs sur l'intérêt privé du recourant à demeurer en Suisse avec sa famille, d'autant plus que celui-ci avait la possibilité de s'installer en France, compte tenu de sa nationalité française.</w:t>
      </w:r>
    </w:p>
    <w:p>
      <w:r>
        <w:rPr>
          <w:b/>
        </w:rPr>
        <w:t>E. 4.3</w:t>
      </w:r>
    </w:p>
    <w:p>
      <w:r>
        <w:t>Il est vrai que le dossier ne contient aucun avis médical au sujet du danger que pourrait représenter le recourant et qu'il déclare maintenant être prêt à se soumettre à une expertise médicale. Il faut cependant constater que le recourant n'a jamais reconnu les faits qui lui ont été reprochés et pour lesquels il a été condamné à une lourde peine. Il n'a, en particulier, éprouvé aucun sentiment de compassion pour sa victime, ni pris conscience de la portée de ses actes, qui se sont déroulés sur une période de plus de dix ans et n'ont cessé qu'à la suite de la dénonciation de sa victime. Le dossier ne contient d'ailleurs aucun élément sur un éventuel suivi psychiatrique auquel le recourant se serait soumis pendant sa détention et qui pourrait faire croire qu'il se serait amendé ou serait sur le point de l'être. Alors qu'il se trouve manifestement dans une situation de déni, on ne voit pas ce que les autorités cantonales pourraient maintenant tirer d'une éventuelle expertise médicale. Quoi qu'il en soit, les conditions d'une menace actuelle ne supposent pas que le risque de récidive soit établi avec certitude. Ce risque sera notamment apprécié en fonction de la nature et de l'importance du bien juridique menacé ( ATF 130 II 493 consid. 3.3 p. 499, 176 consid. 4.3.1 p. 185). Or, en l'espèce, l'intégrité corporelle et sexuelle d'une enfant a été atteinte (cf. supra consid. 4.1 i.f.). Sur ce point, les déclarations écrites de la victime et de la mère de celle-ci, sans doute produites pour les besoins de la cause, ne sont pas de nature à faire croire que le recourant ne serait plus susceptible de mettre en danger une autre enfant. Quant au comportement exemplaire dont il se prévaut depuis sa condamnation, il n'est pas non plus significatif, puisqu'il était en détention ou en semi-liberté. Au vu de l'ensemble des circonstances, on ne peut pas reprocher à la Cour de justice d'avoir admis que le recourant représente bien une menace actuelle pour l'ordre public, qui justifie de limiter les droits que lui confère l' art. 5 al. 1 annexe I ALCP .</w:t>
      </w:r>
    </w:p>
    <w:p>
      <w:r>
        <w:rPr>
          <w:b/>
        </w:rPr>
        <w:t>E. 4.4</w:t>
      </w:r>
    </w:p>
    <w:p>
      <w:r>
        <w:t>Dans cette situation, l'intérêt privé du recourant, dont deux fils sont majeurs et le troisième âgé de 17 ans, à demeurer en Suisse avec sa famille, n'est pas prépondérant par rapport à l'intérêt public à l'éloigner de Suisse. La révocation de l'autorisation d'établissement apparaît également justifiée sous l'angle du principe de la proportionnalité, car le long séjour du recourant en Suisse se trouve contrebalancé par la gravité des infractions commises, qui lui a valu une condamnation particulièrement lourde. Par ailleurs, il ne faut pas oublier que le recourant a choisi d'adopter la nationalité française, de sorte que rien ne l'empêchera de rester en contact avec sa famille depuis la France, et même de continuer à conseiller son fils aîné dans l'entreprise qu'il dirige.</w:t>
      </w:r>
    </w:p>
    <w:p>
      <w:r>
        <w:rPr>
          <w:b/>
        </w:rPr>
        <w:t>E. 4.5</w:t>
      </w:r>
    </w:p>
    <w:p>
      <w:r>
        <w:t>La réglementation prévue par l' art. 8 CEDH est, sur cette question, identique et suppose de procéder également à une pesée des intérêts en présence (cf. ATF 135 I 153 consid 2.2.1 p.156 et les références). Le résultat de celle-ci ne peut être différent de celle opérée ci-dessus, de sorte que le recourant ne saurait se prévaloir de cette disposition pour demander l'octroi d'une autorisation de séjour pour regroupement familial. Au demeurant, lorsque les conditions de révocation d'une autorisation d'établissement sont réunies, l'autorité ne peut envisager l'octroi d'une autorisation de séjour (arrêts 2C_268/2011 du 22 juillet 2011 consid. 7.2; 2C_13/2011 du 22 mars 2011 consid. 2.3).</w:t>
      </w:r>
    </w:p>
    <w:p>
      <w:r>
        <w:rPr>
          <w:b/>
        </w:rPr>
        <w:t>E. 5</w:t>
      </w:r>
    </w:p>
    <w:p>
      <w:r>
        <w:t>Au vu de ce qui précède, le recours doit être rejeté dans la mesure où il est recevable,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