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491/2019 vom 11. November 2019</w:t>
      </w:r>
    </w:p>
    <w:p>
      <w:r>
        <w:t>Bundesgericht, 2019-11-11, FR</w:t>
      </w:r>
    </w:p>
    <w:p>
      <w:r>
        <w:rPr>
          <w:b/>
        </w:rPr>
        <w:t xml:space="preserve">Quelle: </w:t>
      </w:r>
      <w:r>
        <w:t>https://mcp.opencaselaw.ch/entscheid/bger_2C_491_2019</w:t>
      </w:r>
    </w:p>
    <w:p>
      <w:r>
        <w:t>FR: TF 2C 491/2019 du 11 novembre 2019</w:t>
      </w:r>
    </w:p>
    <w:p>
      <w:r>
        <w:t>IT: TF 2C 491/2019 del 11 novembre 2019</w:t>
      </w:r>
    </w:p>
    <w:p>
      <w:pPr>
        <w:pStyle w:val="Heading2"/>
      </w:pPr>
      <w:r>
        <w:t>Regeste</w:t>
      </w:r>
    </w:p>
    <w:p>
      <w:r>
        <w:t>Révocation de l'autorisation de séjour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toutefois recevable contre les décisions révoquant, comme en l'espèce, une autorisation d'établissement, parce qu'il existe en principe un droit au maintien de cette autorisation (arrêt 2C_438/2016 du 11 janvier 2017 non publié in ATF 143 II 1 ; ATF 135 II 1 consid. 1.2.1 p. 4). Partant, la voie du recours en matière de droit public est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Dans un grief d'ordre formel qu'il convient d'examiner en premier lieu ( ATF 138 I 232 consid. 5.1 p. 237), le recourant se plaint d'une violation de son droit d'être entendu ( art. 29 al. 2 Cst. ) et d'arbitraire ( art. 9 Cst. ) dans l'appréciation anticipée des preuves. Contestant l'existence d'un risque de récidive, il reproche aux juges précédents de ne pas avoir donné suite à sa demande de production, par son psychothérapeute avec lequel il poursuivait son traitement ambulatoire, d'un rapport médical actualisé concernant l'évolution de son état de santé et le risque de récidive.</w:t>
      </w:r>
    </w:p>
    <w:p>
      <w:r>
        <w:rPr>
          <w:b/>
        </w:rPr>
        <w:t>E. 2.1</w:t>
      </w:r>
    </w:p>
    <w:p>
      <w:r>
        <w:t>Garanti par l' art. 29 al. 2 Cst. , le droit d'être entendu comprend notamment le droit pour le justiciable d'obtenir qu'il soit donné suite à ses offres de preuves pertinentes, lorsque cela est de nature à influer sur la décision à rendre ( ATF 145 I 167 consid. 4.1 p. 170 s. et les références citées).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(ibid.). 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142 II 355 consid. 6 p. 358; 140 III 264 consid. 2.3 p. 266).</w:t>
      </w:r>
    </w:p>
    <w:p>
      <w:r>
        <w:rPr>
          <w:b/>
        </w:rPr>
        <w:t>E. 2.2</w:t>
      </w:r>
    </w:p>
    <w:p>
      <w:r>
        <w:t>En l'espèce, se prononçant sur le risque de récidive du recourant, l'autorité précédente a relevé que ce dernier n'avait pas commis de nouvelles infractions depuis plus de trois ans. Elle a également constaté que le recourant "sembl[ait]" avoir pris les dispositions nécessaires pour ne plus consommer d'alcool et se soigner, dès lors qu'il ressortait de ses explications - non documentées - que l'intéressé poursuivait notamment son traitement thérapeutique. La cour cantonale a toutefois précisé que "les éventuels progrès de l'intéressé ne sauraient influer de façon déterminante sur l'appréciation du risque de récidive, dans la mesure où les infractions commises n'étaient pas non plus en relation directe et étroite avec son état de santé psychique et son taux d'alcoolémie". L'arrêt entrepris relativise par ailleurs la force probante de l'attestation médicale du 7 mai 2016 produite par le recourant, au motif notamment que "ce document [était] ancien". Il avait en définitive lieu, selon l'autorité précédente, de "relativiser les conclusions" à tirer du bon comportement du recourant pour "l'évolution future de l'intéressé". Rappelant en effet que le risque de récidive s'appréciait en fonction de l'ensemble des circonstances, le Tribunal cantonal a souligné l'importance des biens juridiques auxquels le recourant avait porté atteinte, à savoir la vie et l'intégrité corporelle et sexuelle, ainsi que ses deux antécédents devant la justice des mineurs. Les juges précédents ont également émis des doutes quant à une réelle prise de conscience de la part du recourant en ce qui concernait son comportement délictueux, dans la mesure où celui-ci s'était prévalu du contexte familial dans lequel il avait agi, et dès lors qu'il avait assimilé les actes commis pendant sa minorité à des "bagatelles". Ayant conclu qu'il existait une menace réelle, actuelle et d'une certaine gravité pour l'ordre et la sécurité publics au sens de l' art. 5 par. 1 Annexe I ALCP , le Tribunal cantonal a refusé de donner suite à la réquisition du recourant tendant à la production d'un rapport médical actualisé en lien avec son état de santé et le risque de récidive. A ce titre, les juges précédents ont considéré que ce document ne saurait apporter de "nouveaux éléments utiles à l'affaire" et que les faits pertinents résultant du dossier leur avaient permis de "statuer en toute connaissance de cause" (cf. arrêt entrepris, pp. 9 et ss.).</w:t>
      </w:r>
    </w:p>
    <w:p>
      <w:r>
        <w:rPr>
          <w:b/>
        </w:rPr>
        <w:t>E. 2.3</w:t>
      </w:r>
    </w:p>
    <w:p>
      <w:r>
        <w:t>Le raisonnement adopté par la cour cantonale n'est pas soutenable.</w:t>
      </w:r>
    </w:p>
    <w:p>
      <w:r>
        <w:rPr>
          <w:b/>
        </w:rPr>
        <w:t>E. 2.3.1</w:t>
      </w:r>
    </w:p>
    <w:p>
      <w:r>
        <w:t>En matière de révocation d'une autorisation d'établissement UE/AELE, l' art. 5 Annexe I ALCP impose d'examiner si l'intéressé constitue une menace actuelle et réelle d'une certaine gravité pour l'ordre public ( ATF 139 II 121 consid. 5.3 p. 125 s. et les références citées; arrêt 2C_144/2018 du 21 septembre 2018 consid. 6.1). A cet égard, le risque de récidive est un élément essentiel (cf. ATF 136 II 5 consid. 4.2 p. 20; arrêt 2C_634/2018 du 5 février 2019 consid. 4.1.2). Il n'est toutefois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étant précisé qu'il convient de se montrer particulièrement rigoureux en présence d'infractions à la législation fédérale sur les stupéfiants, d'actes de violence criminelle et d'infractions contre l'intégrité sexuelle (cf. ATF 139 II 121 consid. 5.3 p. 126 et les références citées; arrêt 2C_247/2015 du 7 décembre 2015 consid. 6.2).</w:t>
      </w:r>
    </w:p>
    <w:p>
      <w:r>
        <w:rPr>
          <w:b/>
        </w:rPr>
        <w:t>E. 2.3.2</w:t>
      </w:r>
    </w:p>
    <w:p>
      <w:r>
        <w:t>En l'occurrence, le recourant a été condamné à une peine privative de liberté de trois ans à la suite notamment d'infractions contre la vie et l'intégrité corporelle et sexuelle de son ex-compagne. La gravité de tels agissements imposait dès lors à l'autorité précédente d'être spécialement rigoureuse dans l'évaluation du risque de récidive de l'intéressé (cf. supra consid. 2.3.1). A cet égard, le Tribunal cantonal a, à juste titre, rappelé que le risque de récidive doit s'apprécier en fonction de l'ensemble des circonstances pertinentes du cas. Sous cet angle, les juges précédents ont toutefois considéré que l'évolution de l'état de santé du recourant ne constituait pas un élément pertinent susceptible d'influer de façon déterminante sur l'appréciation du risque de récidive, au motif que les infractions commises par l'intéressé n'étaient pas en relation directe avec son état de santé psychique notamment. Outre qu'une telle conclusion ne ressort nullement du jugement du 5 mai 2017 du Tribunal correctionnel de l'arrondissement de Lausanne ( art. 105 al. 2 LTF ), il est constant que le recourant s'est vu ordonner un traitement ambulatoire psychothérapeutique par ladite autorité pénale, en application de l' art. 63 CP . Or, à teneur de cette disposition, un tel traitement ne peut être ordonné par le juge que lorsque l'auteur, qui souffre notamment d'un grave trouble mental, a commis un acte punissable en relation avec son état, et qu'il est à prévoir que ce traitement le détournera de nouvelles infractions en relation avec ledit état. Dans la mesure où ces conditions sont cumulatives (arrêt 6B_705/2013 du 10 décembre 2013 consid. 4.1), on ne peut que constater, contrairement à ce que l'arrêt entrepris retient de manière manifestement insoutenable, que les infractions commises par le recourant étaient en relation avec son état de santé psychique. Par ailleurs, dès lors que le traitement ambulatoire, qu'il soit de type médical ou paramédical, a pour but d'éliminer ou d'atténuer le risque de récidive (cf. ATF 124 IV 246 consid. 3; arrêt 6B_705/2013 du 10 décembre 2013 consid. 4.1), il faut admettre que l'état de santé psychique du recourant constitue un élément pertinent devant être pris en considération par l'autorité à l'heure d'établir un tel risque. Sous cet angle, dans la mesure où le rapport médical actualisé, dont le recourant requiert la production, a notamment pour but de renseigner sur l'évolution de l'état de santé de l'intéressé, celui-ci doit être considéré comme portant sur des faits pertinents pour l'issue du litige.</w:t>
      </w:r>
    </w:p>
    <w:p>
      <w:r>
        <w:rPr>
          <w:b/>
        </w:rPr>
        <w:t>E. 2.3.3</w:t>
      </w:r>
    </w:p>
    <w:p>
      <w:r>
        <w:t>A cet égard, la motivation retenue par l'autorité précédente pour refuser l'offre de preuve valablement présentée par le recourant ne saurait être suivie. En effet, les juges précédents ne pouvaient, sauf à se contredire, tout à la fois relativiser la force probante du certificat médical du 7 mai 2016 au motif que celui-ci était "ancien", admettant ainsi implicitement que ce moyen de preuve n'avait pas la même valeur probante qu'une attestation médicale récente et, en même temps, écarter l'offre d'un tel document médical actualisé, sous couvert que celui-ci n'apporterait aucun élément utile à l'appréciation du risque de récidive. Ils ne pouvaient par ailleurs, de manière soutenable, relativiser la portée des explications du recourant quant au suivi de son traitement ambulatoire psychothérapeutique, au motif que celles-ci n'étaient "pas documentées", tout en refusant ensuite à l'intéressé la production d'un moyen de preuve pertinent sur ce point. L'appréciation anticipée des preuves opérée par le Tribunal cantonal pour refuser de donner suite aux offres de preuves du recourant est par conséquent arbitraire. Au demeurant, dans la mesure où les circonstances du cas exigeaient un examen particulièrement rigoureux du risque de récidive à la lumière de tous les éléments pertinents de la cause, l'autorité précédente ne pouvait pas se permettre de faire l'économie du droit d'être entendu sur ce point. L'arrêt attaqué viole ainsi le droit d'être entendu du recourant au sens de l' art. 29 al. 2 Cst. en relation avec l' art. 9 Cst. Cette violation ne peut par ailleurs pas être réparée devant le Tribunal fédéral, car elle est en lien avec l'établissement des faits (cf. ATF 142 III 48 consid. 4.3 p. 55).</w:t>
      </w:r>
    </w:p>
    <w:p>
      <w:r>
        <w:rPr>
          <w:b/>
        </w:rPr>
        <w:t>E. 3</w:t>
      </w:r>
    </w:p>
    <w:p>
      <w:r>
        <w:t>En raison de sa nature formelle, l'admission du grief conduit à l'admission du recours et à l'annulation de l'arrêt cantonal. Il appartiendra dès lors au Tribunal cantonal de procéder à l'administration de la preuve requise avant de rendre une nouvelle décision.</w:t>
      </w:r>
    </w:p>
    <w:p>
      <w:r>
        <w:rPr>
          <w:b/>
        </w:rPr>
        <w:t>E. 4</w:t>
      </w:r>
    </w:p>
    <w:p>
      <w:r>
        <w:t>Sur le vu de ce qui précède, il convient d'admettre le recours, d'annuler le jugement entrepris et de renvoyer la cause à l'autorité précédente pour nouvelle décision au sens des considérants. Le recourant, qui obtient gain de cause avec l'aide d'un mandataire professionnel, peut prétendre à une indemnité de dépens à la charge du canton de Vaud ( art. 68 al. 1 et 2 LTF ). La demande d'assistance judiciaire devient ainsi sans objet. Conformément à l' art. 66 al. 1 et 4 LTF , il ne sera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