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2C_489/2011 vom 16. Juni 2011</w:t>
      </w:r>
    </w:p>
    <w:p>
      <w:r>
        <w:t>Bundesgericht, 2011-06-16, DE</w:t>
      </w:r>
    </w:p>
    <w:p>
      <w:r>
        <w:rPr>
          <w:b/>
        </w:rPr>
        <w:t xml:space="preserve">Quelle: </w:t>
      </w:r>
      <w:r>
        <w:t>https://mcp.opencaselaw.ch/entscheid/bger_2C_489_2011</w:t>
      </w:r>
    </w:p>
    <w:p>
      <w:r>
        <w:t>FR: TF 2C_489/2011 du 16 juin 2011</w:t>
      </w:r>
    </w:p>
    <w:p>
      <w:r>
        <w:t>IT: TF 2C_489/2011 del 16 giugno 2011</w:t>
      </w:r>
    </w:p>
    <w:p>
      <w:pPr>
        <w:pStyle w:val="Heading2"/>
      </w:pPr>
      <w:r>
        <w:t>Erwägungen</w:t>
      </w:r>
    </w:p>
    <w:p>
      <w:r>
        <w:rPr>
          <w:b/>
        </w:rPr>
        <w:t>E. 1</w:t>
      </w:r>
    </w:p>
    <w:p>
      <w:r>
        <w:t>X.________ (geb. 1987) stammt aus dem Kosovo. Er heiratete am 18. Juni 2008 eine Schweizer Bürgerin (geb. 1987), worauf ihm die Aufenthaltsbewilligung zum Verbleib bei dieser erteilt und letztmals bis zum 17. Juni 2011 verlängert wurde. Ende August/anfangs September 2010 trennten sich die Eheleute. Das Amt für Arbeit und Migration Uri widerrief hierauf am 3. Januar 2011 die Aufenthaltsbewilligung von X.________. Dieser gelangte hiergegen erfolglos an das Obergericht des Kantons Uri. X.________ beantragt vor Bundesgericht, dessen Entscheid vom 6. Mai 2011 aufzuheben und vom Widerruf seiner Aufenthaltsbewilligung abzusehen.</w:t>
      </w:r>
    </w:p>
    <w:p>
      <w:r>
        <w:rPr>
          <w:b/>
        </w:rPr>
        <w:t>E. 2</w:t>
      </w:r>
    </w:p>
    <w:p>
      <w:r>
        <w:t>Die Eingabe erweist sich - soweit der Beschwerdeführer sich darin überhaupt sachbezogen mit den Ausführungen der Vorinstanz auseinandersetzt und nicht lediglich ohne Bezugnahme auf den angefochtenen Entscheid seinen Standpunkt wiederholt (vgl. Art. 42 BGG ) - als offensichtlich unbegründet und kann ohne Weiterungen im vereinfachten Verfahren nach Art. 109 BGG erledigt werden:</w:t>
      </w:r>
    </w:p>
    <w:p>
      <w:r>
        <w:rPr>
          <w:b/>
        </w:rPr>
        <w:t>E. 2.1</w:t>
      </w:r>
    </w:p>
    <w:p>
      <w:r>
        <w:t>Ausländische Ehegatten von Schweizer Bürgern haben unter Vorbehalt von Art. 51 Abs. 1 AuG (SR 142.20) Anspruch auf Erteilung und Verlängerung ihrer Aufenthaltsbewilligung, wenn sie mit ihrem Partner zusammenwohnen (Art. 42 Abs. 1 AuG). Der Bewilligungsanspruch besteht trotz Auflösens bzw. definitiven Scheiterns der Ehegemeinschaft fort, wenn diese mindestens drei Jahre gedauert und die betroffene ausländische Person sich hier erfolgreich integriert hat (Art. 50 Abs. 1 lit. a AuG; BGE 136 II 113 E. 3.3.3). Eine (relevante) Ehegemeinschaft liegt vor, solange die eheliche Beziehung tatsächlich gelebt wird und ein gegenseitiger Ehewille besteht. Mit Blick auf Art. 49 AuG, der den Ehegatten bei weiterdauernder Familiengemeinschaft gestattet, aus "wichtigen Gründen" getrennt zu leben, was auch bei vorübergehenden Schwierigkeiten in der Ehe kurzfristig der Fall sein kann (vgl. Art. 76 der Verordnung vom 24. Oktober 2007 über Zulassung, Aufenthalt und Erwerbstätigkeit [VZAE, SR 142.201] ), ist jeweils aufgrund aller Umstände im Einzelfall zu bestimmen, ab welchem Zeitpunkt die eheliche Gemeinschaft als definitiv aufgelöst zu gelten hat. Dabei ist im Wesentlichen auf die Dauer der nach aussen wahrnehmbaren ehelichen Wohngemeinschaft abzustellen (Urteil 2C_544/2010 vom 23. Dezember 2010 E. 2.2).</w:t>
      </w:r>
    </w:p>
    <w:p>
      <w:r>
        <w:rPr>
          <w:b/>
        </w:rPr>
        <w:t>E. 2.2</w:t>
      </w:r>
    </w:p>
    <w:p>
      <w:r>
        <w:t>Der Beschwerdeführer und seine Gattin haben sich unbestrittenermassen definitiv getrennt, auch wenn ihre Ehe noch nicht geschieden wurde. Ihre Ehegemeinschaft in der Schweiz hat keine drei Jahre gedauert, weshalb sich der Beschwerdeführer nicht auf Art. 50 Abs. 1 lit. a AuG berufen kann. Entgegen seiner Kritik hat die Vorinstanz auch zu Recht das Vorliegen eines Härtefalls nach Art. 50 Abs. 1 lit. b AuG verneint: Danach besteht der Bewilligungsanspruch fort, falls "wichtige persönliche Gründe einen weiteren Aufenthalt in der Schweiz erforderlich machen", solche sind hier nicht ersichtlich ( BGE 137 II 1 ff.). Bei der Anwendung von Art. 50 Abs. 1 lit. b AuG ist entscheidend, ob die persönliche, berufliche und familiäre Wiedereingliederung der betroffenen ausländischen Person bei einer Rückkehr in ihre Heimat als stark gefährdet zu gelten hätte und nicht, ob ein Leben in der Schweiz einfacher wäre und von ihr vorgezogen würde (Urteil 2C_216/2009 vom 20. August 2009 E. 3). Ein persönlicher, nachehelicher Härtefall setzt aufgrund der gesamten Umstände eine erhebliche Intensität der Konsequenzen für das Privat- und Familienleben voraus, die mit der Lebenssituation nach dem Dahinfallen der gestützt auf Art. 42 Abs. 1 AuG abgeleiteten Anwesenheitsberechtigung verbunden sein muss (vgl. das Urteil 2C_781/2010 vom 16. Februar 2011 E. 2.2). Wurden wie im vorliegenden Fall keine engen Beziehungen zur Schweiz geknüpft und war der Aufenthalt im Land nur von kurzer Dauer, besteht kein Anspruch auf einen weiteren Verbleib, auch wenn der Betroffene - wie der Beschwerdeführer - hier nicht straffällig geworden ist, gearbeitet hat und inzwischen gebrochen Deutsch spricht. Da der Aufenthaltszweck des Beschwerdeführers mit dem Scheitern der Ehe dahingefallen ist (vgl. Art. 62 lit. d AuG), und er über keinen nachehelichen Aufenthaltsanspruch verfügt, haben die kantonalen Behörden seine Bewilligung zu Recht widerrufen. Es wird für alles Weitere auf die bundesrechtskonforme Begründung im angefochtenen Entscheid verwiesen ( Art. 109 Abs. 3 BGG ).</w:t>
      </w:r>
    </w:p>
    <w:p>
      <w:r>
        <w:rPr>
          <w:b/>
        </w:rPr>
        <w:t>E. 3</w:t>
      </w:r>
    </w:p>
    <w:p>
      <w:r>
        <w:t>Dem Verfahrensausgang entsprechend wird der unterliegende Beschwerdeführer kostenpflichtig (vgl. Art. 66 Abs. 1 BGG ). Es sind keine Parteientschädigungen geschuldet (vgl. Art. 68 BGG ). Mit dem vorliegenden Sachentscheid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