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488/2014 vom 15. Januar 2015</w:t>
      </w:r>
    </w:p>
    <w:p>
      <w:r>
        <w:t>Bundesgericht, 2015-01-15, DE</w:t>
      </w:r>
    </w:p>
    <w:p>
      <w:r>
        <w:rPr>
          <w:b/>
        </w:rPr>
        <w:t xml:space="preserve">Quelle: </w:t>
      </w:r>
      <w:r>
        <w:t>https://mcp.opencaselaw.ch/entscheid/bger_2C_488_2014</w:t>
      </w:r>
    </w:p>
    <w:p>
      <w:r>
        <w:t>FR: TF 2C 488/2014 du 15 janvier 2015</w:t>
      </w:r>
    </w:p>
    <w:p>
      <w:r>
        <w:t>IT: TF 2C 488/2014 del 15 gennaio 2015</w:t>
      </w:r>
    </w:p>
    <w:p>
      <w:pPr>
        <w:pStyle w:val="Heading2"/>
      </w:pPr>
      <w:r>
        <w:t>Regeste</w:t>
      </w:r>
    </w:p>
    <w:p>
      <w:r>
        <w:t>Kantonale Steuern 2009 (2C_488/2014) und direkte Bundessteuer 2009 (2C_489/2014), BVG-Einkauf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 vom 14. Dezember 1990 über die Harmonisierung der direkten Steuern der Kantone und Gemeinden [StHG, SR 642.14]; Art. 146 des Bundesgesetzes vom 14. Dezember 1990 über die direkte Bundessteuer [DBG, SR 642.11]). Die Beschwerdeführer sind durch das angefochtene Urteil besonders berührt und haben ein schutzwürdiges Interesse an dessen Aufhebung oder Änderung ( Art. 89 Abs. 1 BGG ). Die Beschwerde ist grundsätzlich zulässig. Nicht Verfahrensgegenstand bildet vorliegend die Besteuerung des Kapitalbezugs von Fr. 874'845.--. Dieser betrifft eine andere Steuerperiode, weshalb sich der entsprechende Antrag erübrigt.</w:t>
      </w:r>
    </w:p>
    <w:p>
      <w:r>
        <w:rPr>
          <w:b/>
        </w:rPr>
        <w:t>E. 1.2</w:t>
      </w:r>
    </w:p>
    <w:p>
      <w:r>
        <w:t>Mit der Beschwerde können Rechtsverletzungen nach Art. 95 und 96 BGG geltend gemacht werden. Das Bundesgericht wendet das Recht von Amtes wegen an ( Art. 106 Abs. 1 BGG ). Es prüft die Verletzung von Grundrechten nur insofern, als eine solche Rüge in der Beschwerde vorgebracht und begründet worden ist ( Art. 106 Abs. 2 BGG ). Die Anwendung des harmonisierten kantonalen Steuerrechts durch die kantonalen Instanzen prüft das Bundesgericht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w:t>
      </w:r>
    </w:p>
    <w:p>
      <w:r>
        <w:rPr>
          <w:b/>
        </w:rPr>
        <w:t>E. 1.3</w:t>
      </w:r>
    </w:p>
    <w:p>
      <w:r>
        <w:t>Der von der Vorinstanz festgestellte Sachverhalt ist vorliegend nicht bestritten und für das Bundesgericht verbindlich (Art. 97 Abs. 1, Art. 105 Abs. 1 und 2 BGG ; BGE 137 I 58 E. 4.1.2 S. 62; 134 V 53 E. 4.3 S. 62).</w:t>
      </w:r>
    </w:p>
    <w:p>
      <w:r>
        <w:rPr>
          <w:b/>
        </w:rPr>
        <w:t>E. 1.4</w:t>
      </w:r>
    </w:p>
    <w:p>
      <w:r>
        <w:t>Die vorliegende Sache betrifft sowohl die direkte Bundessteuer wie auch die Staats- und Gemeindesteuern. Die Vorinstanz hat die beiden Steuern in einem Urteil behandelt. Das Bundesgericht eröffnet grundsätzlich zwei Verfahren, wenn sowohl die kantonalen Steuern wie auch die direkte Bundessteuer streitig sind, es behält sich aber vor, die beiden Verfahren zu vereinigen. Das rechtfertigt sich auch hier (vgl. Art. 71 BGG i.V.m. Art. 24 BZP ; BGE 131 V 461 E. 1.2 S. 465, 59 E. 1 S. 60 f.; Urteil 2C_309/2013, 2C_310/2013 vom 18. September 2013 E. 1.2, in: StE 2013 B 72.14.2 Nr. 42).</w:t>
      </w:r>
    </w:p>
    <w:p>
      <w:r>
        <w:rPr>
          <w:b/>
        </w:rPr>
        <w:t>E. 2.1</w:t>
      </w:r>
    </w:p>
    <w:p>
      <w:r>
        <w:t>Nach Art. 33 Abs. 1 lit. d DBG , Art. 9 Abs. 2 lit. d StHG und § 33 Abs. 1 lit. d des Steuergesetzes des Kantons Schwyz vom 9. Februar 2000 (StG; Schwyzer Steuerbuch 21.10) werden die gemäss Gesetz, Statut oder Reglement geleisteten Einlagen, Prämien und Beiträge an die Alters-, Hinterlassenen- und Invalidenversicherung und an Einrichtungen der beruflichen Vorsorge von den Einkünften abgezogen (vgl. auch Art. 81 Abs. 2 des Bundesgesetzes über die berufliche Alters-, Hinterlassenen- und Invalidenvorsorge vom 25. Juni 1982 [BVG, SR 831.40] ). Die bundesgerichtliche Rechtsprechung hat aber seit jeher den Abzug dann nicht zugelassen, wenn eine Steuerumgehung vorlag (zu diesem Begriff, vgl. BGE 138 II 239 E. 4.1 mit Hinweisen). Das ist dann der Fall, wenn missbräuchliche steuerminimierende, zeitlich nahe Einkäufe und Kapitalbezüge in und von Pensionskassen getätigt werden, mit denen nicht die Schliessung von Beitragslücken angestrebt wird, sondern die 2. Säule als steuerbegünstigtes "Kontokorrent" zweckentfremdet wird. Das Ziel eines Einkaufs von Beitragsjahren besteht im Aufbau bzw. in der Verbesserung der beruflichen Vorsorge. Dieses Ziel wird aber dann offensichtlich verfehlt, wenn die gleichen Mittel kurze Zeit später - bei kaum verbessertem Versicherungsschutz - der Vorsorgeeinrichtung wieder entnommen werden (zum Ganzen, vgl. BGE 131 II 593 E. 4 S. 603 ff., 627 E. 4.2 f. u. 5.2 S. 633 ff.; Urteile 2A.461/2005 vom 14. März 2006 E. 5, in: ASA 78 S. 289, RDAF 2007 II S. 230; 2C_449/2008 vom 16. Oktober 2008 E. 4 u. 5, in: RDAF 2009 II S. 9; 2A.389/2003 vom 10. März 2004 E. 3, in: StE 2004 A 21.13 Nr. 6).</w:t>
      </w:r>
    </w:p>
    <w:p>
      <w:r>
        <w:rPr>
          <w:b/>
        </w:rPr>
        <w:t>E. 2.2</w:t>
      </w:r>
    </w:p>
    <w:p>
      <w:r>
        <w:t>Im Rahmen der 1. BVG-Revision wurde mit Wirkung ab 1. Januar 2006 Art. 79b Abs. 3 Satz 1 BVG neu in das Gesetz aufgenommen. Nach dieser Vorschrift dürfen die aus Einkäufen resultierende Leistungen innerhalb der nächsten drei Jahre nicht in Kapitalform aus der Vorsorge zurückgezogen werden. Mit dem Inkrafttreten von Art. 79b BVG hat das Bundesgericht seine bisherige Rechtsprechung bestätigt und präzisiert. Im Grundsatzurteil 2C_658/2009 vom 12. März 2010 E. 2 u. 3 (in: ASA 79 S. 685, StE 2010 B 27.1 Nr. 43, StR 65/2010 S. 860, RDAF 2011 II S. 44) hat das Bundesgericht erkannt, Art. 79b BVG beruhe klar auf steuerrechtlichen Motiven. Aus den parlamentarischen Beratungen erhelle, dass mit der Sperrfrist von drei Jahren dieselben Missbräuche der Steuerminimierung bekämpft werden sollten, welche schon nach der bisherigen Praxis zur Verweigerung der Abzugsberechtigung geführt hätten (E. 3.3). Wenn Art. 79b Abs. 3 BVG im Falle von Einkäufen für "die daraus resultierenden Leistungen" eine dreijährige Kapitalrückzugssperre vorsehe, so sei das nicht als notwendigerweise direkte Verknüpfung zwischen dem Einkauf und der Leistung zu verstehen, zumal die Leistungen aus Vorsorgeeinrichtungen nicht aus bestimmten Mitteln, sondern aus dem Vorsorgekapital der versicherten Person insgesamt finanziert werden (E. 3.3.1). Grundsätzlich sei, so das Bundesgericht weiter, jede Kapitalauszahlung in der Dreijahresfrist als missbräuchliche Steuerminimierung anzusprechen. Als nicht massgeblich erachtete es namentlich den Umstand, dass im zu beurteilenden Fall eine klare Trennung zwischen später Einzahlung und Rentenausrichtung einerseits und langfristig angespartem Vorsorgevolumen und Kapitalauszahlung anderseits vollzogen worden war. Wesentlich und ausschlaggebend war vielmehr der Umstand, dass kurz nach einer späten Einzahlung Vorsorgemittel ausbezahlt wurden, und zwar so, dass das Hin und Her nicht als sachgerechte Verbesserung des Vorsorgeschutzes, sondern als vorübergehende und steuerlich motivierte Geldverschiebung erscheine (E. 3.3.2). Das Bundesgericht erachtete es namentlich auch als sachgerecht, die Vermögenssituation des Steuerpflichtigen - dieser verfügte über ein steuerbares Vermögen von mehreren Millionen Franken - in die Prüfung einzubeziehen (E. 2.3).</w:t>
      </w:r>
    </w:p>
    <w:p>
      <w:r>
        <w:rPr>
          <w:b/>
        </w:rPr>
        <w:t>E. 2.3</w:t>
      </w:r>
    </w:p>
    <w:p>
      <w:r>
        <w:t>Diese Rechtsprechung hat das Bundesgericht erst kürzlich im Urteil 2C_243/2013 vom 13. September 2013 (in: ASA 82 S. 232) bestätigt und erweitert. Es hatte dort einen Fall zu beurteilen, in dem ein selbständig Erwerbender in den Jahren 2006 und 2008 Einzahlungen von Fr. 200'000.-- bzw. Fr. 100'000.-- in seine Pensionskasse geleistet und im Jahr 2009 einen Kapitalbezug in der Höhe von Fr. 537'647.-- vorgenommen hatte; zusätzlich bezog er eine jährliche Rente von Fr. 20'400.--. Die Pensionskasse des Betroffenen hatte diesem schriftlich bestätigt, dass die Einzahlungen in den Jahren 2006 und 2008 ausschliesslich der Finanzierung der Rente gedient habe. Diesen Umstand erachtete das Bundesgericht indes als nicht massgeblich. Es hielt fest, das Vorsorgekapital bilde eine Einheit und müsse gesamtheitlich betrachtet werden ("forme un tout et doit être pris dans son ensemble"). Massgeblich sei (auch hier), dass der Einkauf kurze Zeit vor der Auszahlung von Vorsorgekapital erfolgt sei. Damit erscheine das Hin und Her der Geldmittel auch in diesem Fall nicht als sachgerechte Verbesserung des Vorsorgeschutzes, sondern als vorübergehende und steuerlich motivierte Geldverschiebung (E. 5.2).</w:t>
      </w:r>
    </w:p>
    <w:p>
      <w:r>
        <w:rPr>
          <w:b/>
        </w:rPr>
        <w:t>E. 3.1</w:t>
      </w:r>
    </w:p>
    <w:p>
      <w:r>
        <w:t>Die Beschwerdeführer machen geltend, die in der vorstehenden Erwägung dargestellte Rechtsprechung sei in ihrem Fall nicht massgeblich, denn der Einkauf einerseits und der Bezug von Vorsorgegeldern anderseits sei nicht bei ein und derselben, sondern bei zwei verschiedenen Vorsorgeeinrichtungen vorgenommen worden, weshalb der Kapitalbezug nicht aus dem zuvor getätigten Einkauf resultiere und die Bestimmung von Art. 79b Abs. 3 BVG keine Anwendung finde. Diese Auffassung werde auch in der Lehre vertreten (mit Bezugnahme auf Maute/Steiner/Rufener/Lang, Steuern und Versicherungen, 3. Aufl. 2011, S. 174 f.). Der Gesetzgeber habe nicht den Fall vor Augen gehabt, in welchem Altersleistungen teilweise in Rentenform und teilweise in Kapitalform aus verschiedenen Vorsorgeeinrichtungen bezogen worden seien. In den interessierenden Urteilen des Bundesgerichts sei bloss von grundsätzlich missbräuchlichen Einkäufen die Rede; daraus erhelle, dass nicht jeder Einkauf und Kapitalbezug innerhalb der Sperrfrist einen Missbrauch darstelle. Die vom Bundesgericht erwähnte absolute Sperrfrist nach Art. 79b Abs. 3 BVG sei auch deshalb nicht haltbar, weil eine solche nicht im Sinne des Gesetzgebers sei, der bloss die Verwendung der Pensionskasse als reine Steuersparmöglichkeit habe verhindern wollen. Wäre tatsächlich auch bei verschiedenen Vorsorgeeinrichtungen und verschiedenen Vorsorgeplänen immer von einer konsolidierten Betrachtung auszugehen, so wäre der Wortlaut "die daraus resultierenden Leistungen" in Art. 79b Abs. 3 BVG überflüssig.</w:t>
      </w:r>
    </w:p>
    <w:p>
      <w:r>
        <w:rPr>
          <w:b/>
        </w:rPr>
        <w:t>E. 3.2</w:t>
      </w:r>
    </w:p>
    <w:p>
      <w:r>
        <w:t>Diese Einwände vermögen nicht zu überzeugen. Es mag zutreffen, dass der Gesetzgeber beim Erlass von Art. 79b BVG nicht konkret einen Fall wie denjenigen der Beschwerdeführenden vor Augen hatte, wo der Kapitalbezug bei einer andern Vorsorgeeinrichtung erfolgte als die wenige Jahre zuvor vorgenommene Einzahlung. Die Gesetzesauslegung hat sich indessen vom Gedanken leiten zu lassen, dass nicht bereits der Wortlaut die Norm darstellt, sondern erst das an Sachverhalten verstandene und konkretisierte Gesetz. Gefordert ist die sachlich richtige Entscheidung im normativen Gefüge, ausgerichtet auf ein befriedigendes Ergebnis der ratio legis ( BGE 139 II 173 E. 2.1 mit Hinweisen; 134 V 170 E. 4.1). Wie das Bundesgericht im bereits erwähnten Urteil 2C_658/2009 vom 12. März 2010 unter Bezugnahme auf die parlamentarischen Beratungen erkannt hat, sollten mit der genannten Bestimmung dieselben Missbräuche der Steuerminimierung bekämpft werden, die schon die bundesgerichtliche Praxis zur Verweigerung der Abzugsberechtigung wegen Steuerumgehung veranlasst hatten (oben E. 2.2). Wenn aber eine direkte Verknüpfung zwischen Einkauf und Leistung nicht bestehen muss, ist kein Grund ersichtlich, weshalb der vorliegende Fall anders beurteilt werden sollte, bloss weil der Einkauf in die eine Vorsorgeeinrichtung erfolgt ist und die nachfolgende Kapitalleistung aus einer andern Einrichtung stammt. Wie bereits dargestellt (oben E. 2.3) geht das Bundesgericht von einer konsolidierten Betrachtungsweise der beruflichen Vorsorge als einem Ganzen aus. Entgegen der Ansicht der Beschwerdeführer ist auch der Wortlaut "die daraus resultierenden Leistungen" in Art. 79b Abs. 3 BVG keineswegs überflüssig, da nur der dem Einkauf entsprechende Betrag (zuzüglich Zinsen) und nicht das allenfalls höhere Altersguthaben der Sperrfrist von drei Jahren unterliegt (s. auch Bundesamt für Sozialversicherung, Mitteilungen über die berufliche Vorsorge Nr. 88 vom 28. November 2005, 511, Fragen zur Anwendung der neuen Einkaufsbestimmungen des BVG, Ziff. 1).</w:t>
      </w:r>
    </w:p>
    <w:p>
      <w:r>
        <w:rPr>
          <w:b/>
        </w:rPr>
        <w:t>E. 3.3</w:t>
      </w:r>
    </w:p>
    <w:p>
      <w:r>
        <w:t>Soweit die Beschwerdeführenden die gesamtheitliche Betrachtung kritisieren, die der bundesgerichtlichen Rechtsprechung zugrunde liegt, ist ihnen mit der Vorinstanz entgegen zu halten, dass das Bundesgericht bereits im Urteil 2A.408/2002 vom 13. Februar 2004 E. 2.4.4 (in: ASA 75 S. 159, StE 2004 B 96.12 Nr. 14) erkannt hat, für die Beurteilung der Beiträge an und die Bezüge aus der beruflichen Vorsorge sei aus der Sicht eines einzelnen Vorsorgenehmers eine Gesamtbetrachtung der zweiten Säule vorzunehmen. Diese Rechtsprechung hat es im genannten Urteil 2C_658/2009 vom 12. März 2010 und zuletzt im ebenfalls bereits zitierten Urteil 2C_243/2013 vom 13. September 2013 E. 5.2 immer wieder bestätigt (vgl. zu diesem Aspekt auch Schweizerische Steuerkonferenz, Analyse zum Bundesgerichtsentscheid vom 12. März 2010 [2C_658/2009] zur Abzugsberechtigung von Einkäufen bei nachfolgendem Kapitalbezug [...], Ziff. D, S. 5 unten). Daran ist festzuhalten: In der Tat wäre es aus Gründen der Gleichbehandlung nur schwer einzusehen und mit dem Leistungsfähigkeitsprinzip kaum vereinbar, wenn einem BVG-Versicherten mit Zugang zu mehreren Vorsorgeeinrichtungen das mit erheblichen Steuerersparnissen verbundene Verschieben von Geldern in die 2. Säule und deren Rückführung innert kurzer Frist möglich sein sollte, während dasselbe Vorgehen den übrigen Versicherten verwehrt bliebe.</w:t>
      </w:r>
    </w:p>
    <w:p>
      <w:r>
        <w:rPr>
          <w:b/>
        </w:rPr>
        <w:t>E. 3.4</w:t>
      </w:r>
    </w:p>
    <w:p>
      <w:r>
        <w:t>Gleich wie in den andern vom Bundesgericht beurteilten Fällen erfolgte vorliegend die Einzahlung des Beschwerdeführers in die AXA Stiftung Winterthur (2. Säule) in der Höhe von Fr. 150'000.-- rund zwei Jahre vor dem Kapitalbezug, d.h. zeitlich in einem engen Bezug zu diesem. Hier wie dort resultierte aus diesen Geldflüssen keine massgebliche Verbesserung der Altersvorsorge der Beschwerdeführenden, so dass auch im vorliegenden Fall von einer vorübergehenden und steuerlich motivierten Geldverschiebung auszugehen ist. Diese Annahme rechtfertigt sich umso mehr, als die Beschwerdeführenden weder vor der Vorinstanz noch im bundesgerichtlichen Verfahren andere gute Gründe namhaft machen, welche die interessierende Einzahlung und den wenig später erfolgten Kapitalbezug erklären würden und die daraus resultierende Steuerersparnis als blosse Nebenfolge erscheinen liessen. Dabei ist in Anwendung der zitierten bundesgerichtlichen Rechtsprechung auch in Betracht zu ziehen, dass die Beschwerdeführenden im interessierenden Zeitraum über ein steuerbares Vermögen von Fr. 3'733'000.-- verfügten, so dass zum einen die finanzielle Alterssicherung gewährleistet erschien, und sie anderseits ein beträchtliches Einkommen zu versteuern hatten, was ein erhebliches Interesse begründen kann, die Steuerlast zu reduzieren.</w:t>
      </w:r>
    </w:p>
    <w:p>
      <w:r>
        <w:rPr>
          <w:b/>
        </w:rPr>
        <w:t>E. 3.5</w:t>
      </w:r>
    </w:p>
    <w:p>
      <w:r>
        <w:t>Die Beschwerdeführenden machen zu ihren Gunsten, zumindest sinngemäss, noch Argumente des Vertrauensschutzes geltend. Zunächst habe die Veranlagungsverfügung 2009 keinen Vermerk der Nichtgewährung des Abzuges bei allfälligen Kapitalbezügen enthalten, zum andern hätten sie auf die Mitteilung des Bundesamts für Sozialversicherung (Mitteilungen über die berufliche Vorsorge 88/2005 Rz. 511) vertrauen dürfen. Es ist fraglich, ob die genannten Einwände vor dem Hintergrund von Art. 106 Abs. 2 BGG (vgl. oben E. 1.2) hinreichend begründet sind. Auf diesen prozessualen Aspekt muss aber nicht weiter eingegangen werden, denn auch diese Rügen der Beschwerdeführenden sind unbehelflich. Die für sie ungünstigen Steuerfolgen stellen bloss das Ergebnis der richtigen Anwendung der bereits am 1. Januar 2006 in Kraft getretenen Bestimmung von Art. 79b BVG auf den vorliegenden Sachverhalt dar. Die Beschwerdeführer konnten von vornherein nicht auf eine andere Auslegung dieser Norm durch das Bundesgericht oder eine kantonale Justizbehörde vertrauen, und eine abweichende Praxis der Schwyzer Steuerbehörden ist nicht dargetan (und wird auch gar nicht ernsthaft behauptet). Namentlich war ab dem Bekanntwerden des Urteils 2C_658/2009 vom 12. März 2010 bekannt, dass das Bundesgericht die genannte Norm unter steuerlichen Gesichtspunkten anders interpretiert als das Bundesamt für Sozialversicherung unter sozialrechtlichen. Schliesslich lässt sich aus dem Umstand, dass die kantonalen Behörden neuerdings offenbar auf die Möglichkeit der Aufrechnung des gewährten Abzugs für Einkäufe in die zweite Säule im Falle eines kurz darauf erfolgenden Kapitalbezugs ausdrücklich hinweisen, nichts zugunsten der Beschwerdeführenden ableiten; namentlich kann daraus nicht gefolgert werden, eine solche Mitteilung wäre auch früher, vor Erlass des betreffenden Merkblattes, durch die Verfassung geboten gewesen.</w:t>
      </w:r>
    </w:p>
    <w:p>
      <w:r>
        <w:rPr>
          <w:b/>
        </w:rPr>
        <w:t>E. 3.6</w:t>
      </w:r>
    </w:p>
    <w:p>
      <w:r>
        <w:t>Zusammenfassend ergibt sich, dass der Beschwerdeführer den Kapitalbezug von Fr. 874'845.-- aus der Vorsorgestiftung des Vereins der Leitenden Spitalärzte der Schweiz (VLSS) innerhalb der dreijährigen Sperrfirst von Art. 79b Abs. 3 BVG seit dem Einkauf in die Pensionskasse der AXA-Stiftung Winterthur in der Höhe von Fr. 150'000.-- getätigt hat, weshalb die kantonalen Instanzen den letztgenannten Betrag zurecht nicht zum Abzug zugelassen haben. Die Beschwerde erweist sich sowohl für die Staatssteuer wie auch für die Bundessteuer als unbegründet und ist abzuweisen. Bei diesem Ausgang des Verfahrens werden die Beschwerdeführenden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