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2C_486/2011 vom 13. Dezember 2011</w:t>
      </w:r>
    </w:p>
    <w:p>
      <w:r>
        <w:t>Bundesgericht, 2011-12-13, FR</w:t>
      </w:r>
    </w:p>
    <w:p>
      <w:r>
        <w:rPr>
          <w:b/>
        </w:rPr>
        <w:t xml:space="preserve">Quelle: </w:t>
      </w:r>
      <w:r>
        <w:t>https://mcp.opencaselaw.ch/entscheid/bger_2C_486_2011</w:t>
      </w:r>
    </w:p>
    <w:p>
      <w:r>
        <w:t>FR: TF 2C_486/2011 du 13 décembre 2011</w:t>
      </w:r>
    </w:p>
    <w:p>
      <w:r>
        <w:t>IT: TF 2C_486/2011 del 13 dicembre 2011</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w:t>
      </w:r>
    </w:p>
    <w:p>
      <w:r>
        <w:t>En principe, le droit de séjour et d'accès à une activité économique est garanti en vertu des art. 4 ALCP et 2 annexe I ALCP. Ressortissant portugais, le recourant peut se prévaloir de l'ALCP et a ainsi potentiellement droit à une autorisation de séjour, de sorte que le présent recours est recevable au regard de l' art. 83 let . c ch. 2 LTF.</w:t>
      </w:r>
    </w:p>
    <w:p>
      <w:r>
        <w:rPr>
          <w:b/>
        </w:rPr>
        <w:t>E. 1.2</w:t>
      </w:r>
    </w:p>
    <w:p>
      <w:r>
        <w:t>Les autres conditions de la recevabilité étant réunies, il y a lieu d'entrer en matière.</w:t>
      </w:r>
    </w:p>
    <w:p>
      <w:r>
        <w:rPr>
          <w:b/>
        </w:rPr>
        <w:t>E. 1.3</w:t>
      </w:r>
    </w:p>
    <w:p>
      <w:r>
        <w:t>Le Tribunal fédéral statue sur la base des faits établis par l'autorité précédente ( art. 105 al. 1 LTF ), et aucun fait nouveau ni preuve nouvelle ne peut être présenté à moins de résulter de la décision de l'autorité précédente ( art. 99 al. 1 LTF ). Partant, les requêtes visant au dépôt de pièces et à l'administration de mesures d'instruction complémentaires sont irrecevables.</w:t>
      </w:r>
    </w:p>
    <w:p>
      <w:r>
        <w:rPr>
          <w:b/>
        </w:rPr>
        <w:t>E. 2</w:t>
      </w:r>
    </w:p>
    <w:p>
      <w:r>
        <w:t>Aux termes de son art. 2 al. 2, la loi fédérale sur les étrangers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w:t>
      </w:r>
    </w:p>
    <w:p>
      <w:r>
        <w:t>Selon les art. 4 ALCP et 2 annexe I ALCP, les ressortissants d'une partie contractante ont le droit de séjourner et d'exercer une activité économique sur le territoire de l'autre partie contractante. Comme l'ensemble des droits octroyés par l'ALCP, le droit de séjour ne peut être limité que par des mesures d'ordre ou de sécurité publics, au sens de l' art. 5 par. 1 annexe I ALCP ,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 art. 16 al. 2 ALCP ; au sujet de la prise en considération des arrêts de la Cour de justice postérieurs à cette date, cf. ATF 136 II 5 consid. 4.2 p. 20; 130 II 1 consid. 3.6 p. 9 ss, 113 consid. 5.2 p. 119 s. et les références citées).</w:t>
      </w:r>
    </w:p>
    <w:p>
      <w:r>
        <w:t>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(cf. ATF 130 II 176 consid. 3.4.1 p. 182; 129 II 215 consid. 7.3 p. 222 et les arrêts cités de la CJCE). Des motifs de prévention générale détachés du cas individuel ne sauraient donc les justifier ( ATF 130 II 176 consid. 3.4.1 p. 183, 129 II 215 consid. 7.1 p. 221 et l'arrêt cité de la CJCE du 26 février 1975 67/74 Bonsignore, Rec. 1975 p. 297 points 6 et 7).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130 II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L'évaluation du risque de récidive sera d'autant plus rigoureuse que le bien juridique menacé est important (cf. ATF 136 II 5 consid. 4.2 p. 20; 130 II 176 consid. 4.3.1 p. 185 s.).</w:t>
      </w:r>
    </w:p>
    <w:p>
      <w:r>
        <w:rPr>
          <w:b/>
        </w:rPr>
        <w:t>E. 3</w:t>
      </w:r>
    </w:p>
    <w:p>
      <w:r>
        <w:t>Le recourant a été condamné en 2007 pour une infraction contre le domaine privé et en 2010 pour des atteintes à l'intégrité corporelle, à la liberté et à l'intégrité sexuelle et violation grave des règles de la circulation, bénéficiant d'un sursis à chaque condamnation.</w:t>
      </w:r>
    </w:p>
    <w:p>
      <w:r>
        <w:t>Dans le cas particulier, les infractions jugées en 2010 ont été commises par le recourant dans le cadre de sa séparation d'avec son ex-épouse. Le jugement pénal a d'ailleurs reconnu une culpabilité sensiblement atténuée du recourant en raison de l'attitude ambiguë de la victime. Si les experts n'ont pas exclu un risque de récidive dans leur rapport complémentaire du 12 mars 2010, ils l'ont mis en corrélation étroite avec la survenance de facteurs contextuels similaires à ceux ayant entouré les faits reprochés au recourant. Ces éléments conduisent à relativiser dans une certaine mesure la gravité du comportement incriminé au regard de la menace que le recourant représente pour l'ordre public.</w:t>
      </w:r>
    </w:p>
    <w:p>
      <w:r>
        <w:t>A ces motifs s'ajoute le fait que, malgré la gravité des faits reprochés, le recourant a été mis au bénéfice d'un sursis par le Tribunal correctionnel du canton de Vaud retenant que l'exécution de la peine n'était pas nécessaire pour le détourner de commettre d'autres crimes et délits. De plus, les infractions, qui s'inscrivent dans une période comprise entre début 2004 et mai 2005, remontent à plus de six ans. Depuis lors, le recourant semble avoir retrouvé une certaine stabilité affective auprès de sa nouvelle compagne, avec laquelle il aurait eu un enfant. La stabilité psychologique du recourant a pour sa part été mise en évidence par les experts. Le Tribunal pénal a, en conséquence, renoncé à assortir le sursis de la condition que le recourant suive un traitement psychiatrique ambulatoire, jugeant que cela n'était pas indispensable.</w:t>
      </w:r>
    </w:p>
    <w:p>
      <w:r>
        <w:t>Le recourant est par ailleurs financièrement autonome, et en outre apprécié par son employeur et ses collègues. Il est donc professionnellement intégré. Il a certes des dettes, mais ces dernières ne jouent pas le même rôle du point de vue de l'ALCP que sous l'angle de l' art. 8 CEDH (cf. à ce sujet ATF 131 II 339 c. 5 p. 351) ou de la LEtr (cf. notamment art. 62 let . e LEtr).</w:t>
      </w:r>
    </w:p>
    <w:p>
      <w:r>
        <w:t>S'il est vrai que la condamnation à une peine privative de liberté de quinze mois est considérée par la jurisprudence du Tribunal fédéral comme une peine de longue durée au sens de l'art. 62 let. b LEtr, autorisant l'autorité compétente à révoquer une autorisation de séjour, respectivement à refuser la délivrance d'une telle autorisation, la LEtr n'est pas applicable dans le cas d'espèce, dans la mesure où les conditions de limitation du droit au séjour posées par l'ALCP examinées ci-dessus, qui ne considèrent pas en tant que telle la longueur de la peine, mais la menace concrète que l'auteur de l'infraction représente pour l'ordre public, sont plus favorables au recourant (art. 2 al. 2 LEtr; cf. les arrêts du Tribunal fédéral 2C_412/2009 du 9 mars 2010 et 2C_15/2009 du 17 juin 2009, où les condamnations excédaient également la durée d'une année).</w:t>
      </w:r>
    </w:p>
    <w:p>
      <w:r>
        <w:t>Au vu de ce qui précède, il y a lieu d'admettre, conformément à la jurisprudence selon laquelle les limites posées au principe de la libre circulation des personnes doivent s'interpréter de manière restrictive, que le recourant ne représente pas, en l'état, une menace suffisamment grave pour justifier une mesure d'ordre public au sens de l' art. 5 annexe I ALCP et de la directive 64/221/CEE.</w:t>
      </w:r>
    </w:p>
    <w:p>
      <w:r>
        <w:t>Il convient toutefois de souligner que s'il devait récidiver, le recourant s'exposerait avec une grande vraisemblance à des mesures d'éloignement.</w:t>
      </w:r>
    </w:p>
    <w:p>
      <w:r>
        <w:rPr>
          <w:b/>
        </w:rPr>
        <w:t>E. 4</w:t>
      </w:r>
    </w:p>
    <w:p>
      <w:r>
        <w:t>Vu ce qui précède, le recours doit être admis, la décision attaquée annulée et la cause renvoyée au Service cantonal pour qu'il délivre l'autorisation de séjour sollicitée.</w:t>
      </w:r>
    </w:p>
    <w:p>
      <w:r>
        <w:t>Il n'y a pas lieu de percevoir de frais de justice (cf. art. 66 al. 4 LTF ).</w:t>
      </w:r>
    </w:p>
    <w:p>
      <w:r>
        <w:t>Succombant, le canton de Vaud versera au recourant une indemnité à titre de dépens (cf. art. 68 al. 1 LTF ).</w:t>
      </w:r>
    </w:p>
    <w:p>
      <w:r>
        <w:t>Dans ces conditions, la demande d'assistance judiciaire du recourant est sans objet.</w:t>
      </w:r>
    </w:p>
    <w:p>
      <w:r>
        <w:t>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