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485/2014 vom 22. Januar 2015</w:t>
      </w:r>
    </w:p>
    <w:p>
      <w:r>
        <w:t>Bundesgericht, 2015-01-22, DE</w:t>
      </w:r>
    </w:p>
    <w:p>
      <w:r>
        <w:rPr>
          <w:b/>
        </w:rPr>
        <w:t xml:space="preserve">Quelle: </w:t>
      </w:r>
      <w:r>
        <w:t>https://mcp.opencaselaw.ch/entscheid/bger_2C_485_2014</w:t>
      </w:r>
    </w:p>
    <w:p>
      <w:r>
        <w:t>FR: TF 2C 485/2014 du 22 janvier 2015</w:t>
      </w:r>
    </w:p>
    <w:p>
      <w:r>
        <w:t>IT: TF 2C 485/2014 del 22 gennaio 2015</w:t>
      </w:r>
    </w:p>
    <w:p>
      <w:pPr>
        <w:pStyle w:val="Heading2"/>
      </w:pPr>
      <w:r>
        <w:t>Regeste</w:t>
      </w:r>
    </w:p>
    <w:p>
      <w:r>
        <w:t>Aufenthaltsbewilligung EU/EFTA | Bürgerrecht und Ausländerrecht</w:t>
      </w:r>
    </w:p>
    <w:p>
      <w:pPr>
        <w:pStyle w:val="Heading2"/>
      </w:pPr>
      <w:r>
        <w:t>Erwägungen</w:t>
      </w:r>
    </w:p>
    <w:p>
      <w:r>
        <w:rPr>
          <w:b/>
        </w:rPr>
        <w:t>E. 1.1</w:t>
      </w:r>
    </w:p>
    <w:p>
      <w:r>
        <w:t>Gemäss Art. 83 lit. c Ziff. 2 BGG ist die Beschwerde in öffentlich- rechtlichen Angelegenheiten unzulässig gegen Entscheide betreffend Bewilligungen, auf die weder das Bundesrecht noch das Völkerrecht einen Anspruch einräumt. Als österreichischer Staatsangehöriger kann sich der Beschwerdeführer auf das Abkommen vom 21. Juni 1999 zwischen der Schweizerischen Eidgenossenschaft einerseits und der Europäischen Gemeinschaft und ihren Mitgliedstaaten andererseits über die Freizügigkeit (Freizügigkeitsabkommen, FZA; SR 0.142.112.681) berufen, welches ihm einen grundsätzlichen Anspruch auf Erteilung einer Aufenthaltsbewilligung einräumt (vgl. Art. 4 FZA ; Art. 6 Abs. 1 Anhang I FZA ). Auf die im Übrigen form- und fristgerecht eingereichte Beschwerde ( Art. 42 und Art. 100 Abs. 1 BGG ) ist daher einzutreten.</w:t>
      </w:r>
    </w:p>
    <w:p>
      <w:r>
        <w:rPr>
          <w:b/>
        </w:rPr>
        <w:t>E. 1.2</w:t>
      </w:r>
    </w:p>
    <w:p>
      <w:r>
        <w:t>Das Bundesgericht prüft die Anwendung von Bundesrecht mit Einschluss des Verfassungs- und Völkerrechts ( Art. 95 lit. a und b BGG ) frei. Es wendet das Recht von Amtes wegen an ( Art. 106 Abs. 1 BGG ). Allerdings prüft das Bundesgericht, unter Berücksichtigung der allgemeinen Rüge- und Begründungspflicht ( Art. 42 Abs. 1 und Abs. 2 BGG ; BGE 140 III 86 E. 2 S. 88), grundsätzlich nur die geltend gemachten Rügen, sofern die rechtlichen Mängel nicht geradezu offensichtlich sind ( BGE 140 III 115 E. 2 S. 116; 133 II 249 E. 1.4.1 S. 254).</w:t>
      </w:r>
    </w:p>
    <w:p>
      <w:r>
        <w:rPr>
          <w:b/>
        </w:rPr>
        <w:t>E. 1.3</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Der Beschwerdeführer erkennt die sachverhaltlichen Feststellungen der Vorinstanz indes ausdrücklich als richtig an, weswegen sie für das Bundesgericht grundsätzlich verbindlich sind.</w:t>
      </w:r>
    </w:p>
    <w:p>
      <w:r>
        <w:rPr>
          <w:b/>
        </w:rPr>
        <w:t>E. 2.1</w:t>
      </w:r>
    </w:p>
    <w:p>
      <w:r>
        <w:t>Die Vorinstanz hat festgehalten, die Niederlassungsbewilligung des Beschwerdeführers sei erloschen, da dieser die Schweiz zwischen Februar 2011 und September 2012 länger als sechs Monate verlassen habe ohne ein Gesuch um Aufrechterhaltung der Niederlassungsbewilligung zu stellen (vgl. Art. 61 Abs. 2 des Bundesgesetzes vom 16. Dezember 2005 über die Ausländerinnen und Ausländer [Ausländergesetz, AuG; SR 142.20] ). Diesen Umstand zieht der Beschwerdeführer nicht in Zweifel und beantragt vor dem Bundesgericht dementsprechend auch (bloss) die Erteilung einer Aufenthaltsbewilligung EG/EFTA. Die Erteilung bzw. Verlängerung von Aufenthaltsbewilligungen richtet sich grundsätzlich nach dem AuG. Für Staatsangehörige der Mitgliedstaaten der Europäischen Union hat das Ausländergesetz allerdings nur insoweit Geltung, als das Freizügigkeitsabkommen keine abweichende Bestimmung enthält oder das Ausländergesetz eine für den Ausländer vorteilhaftere Regelung enthält (Art. 2 Abs. 2 AuG), was hier nicht der Fall ist. 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Auf diese Bestimmungen beruft sich der Beschwerdeführer. Wie das Verwaltungsgericht allerdings zutreffend ausgeführt hat, gilt dieser Anspruch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rPr>
          <w:b/>
        </w:rPr>
        <w:t>E. 2.2</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ff.; BGE 136 II 5 E. 4.2 S. 20; je mit Hinweisen). Namentlich kann auch der Drogenhandel angesichts der grossen sozialen und wirtschaftlichen Gefahr, welche von der Drogensucht für die Menschheit ausgeht, eine Ausweisung rechtfertigen (vgl. Urteil des EuGH vom 23. November 2010 C-145/09 Tsakouridis , Slg. 2010 I-11979 Randnr. 46 f.).</w:t>
      </w:r>
    </w:p>
    <w:p>
      <w:r>
        <w:rPr>
          <w:b/>
        </w:rPr>
        <w:t>E. 3.1</w:t>
      </w:r>
    </w:p>
    <w:p>
      <w:r>
        <w:t>Die Vorinstanz hat sich an die oben dargelegten Grundsätze gehalten: Sie hat zurecht darauf hingewiesen, dass der Beschwerdeführer seit seiner Jugend drogensüchtig ist und mit erheblichen Mengen an Kokain und Heroin gehandelt hat, um sich den Lebensunterhalt und den eigenen Konsum zu finanzieren. Vollzugslockerungen während des Strafvollzugs oder bedingte Entlassungen mussten mehrfach widerrufen werden, weil sich der Beschwerdeführer nicht an die diesbezüglichen Regeln zu halten vermochte. Richtigerweise hat die Vorinstanz auch festgehalten, dass er im Jahr 2010 erneut wegen Drogendelikten verurteilt wurde und eine Strafanzeige aus dem Jahr 2011 vorliegt, die unter anderem den Handel mit Kokain betrifft; im Zeitpunkt des vorinstanzlichen Urteils war wegen diesem Sachverhalt noch keine Verurteilung erfolgt, doch war der Beschwerdeführer offenbar geständig. Anschliessend hat er in Deutschland bis September 2012 eine Haftstrafe verbüsst.</w:t>
      </w:r>
    </w:p>
    <w:p>
      <w:r>
        <w:rPr>
          <w:b/>
        </w:rPr>
        <w:t>E. 3.2</w:t>
      </w:r>
    </w:p>
    <w:p>
      <w:r>
        <w:t>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Drogenhandel stellt nach der Rechtsprechung eine schwere und gegenwärtige Gefährdung der öffentlichen Ordnung im Sinne von Art. 5 Anhang I FZA dar. Vorliegend ist die Vorinstanz ausserdem zurecht von einer erheblichen Rückfallgefahr des Beschwerdeführers ausgegangen. Sollte er selbst wieder Drogen konsumieren, spricht vieles dafür, dass er - wie in der Vergangenheit - seinen Konsum mit Drogenhandel finanzieren und damit eine Vielzahl von Personen gefährden würde. Nach einer so lange andauernden - suchtbedingten - deliktischen Lebensführung kann das Risiko eines (weiteren) Rückfalls und damit verbundener Straffälligkeit von vornherein nicht leichthin ausgeschlossen werden; dies gilt beim Beschwerdeführer umso mehr, als bei ihm verschiedene frühere Therapieversuche gescheitert sind und die Zeitspanne, die auf eine drogenfreies Leben hoffen lässt (unter Ausserachtlassung der in Deutschland in Haft verbrachten Zeit), noch nicht lange dauert.</w:t>
      </w:r>
    </w:p>
    <w:p>
      <w:r>
        <w:rPr>
          <w:b/>
        </w:rPr>
        <w:t>E. 3.3</w:t>
      </w:r>
    </w:p>
    <w:p>
      <w:r>
        <w:t>Der Beschwerdeführer beruft sich sodann noch auf seine Beziehung zu seiner Mutter und zur Tochter und macht geltend, die Verweigerung einer Aufenthaltsbewilligung würde seinen Anspruch nach Art. 8 EMRK verletzen, das Familienleben in der Schweiz zu pflegen. Zu Unrecht. Nach der Rechtsprechung umfasst der Schutzbereich von Art. 8 EMRK in erster Linie die Kernfamilie (Ehepaare und ihre minderjährigen Kinder) sowie andere faktische Familienverhältnisse, in denen die Parteien zusammenleben ( BGE 137 I 113 E. 6.1 S. 118); die Beziehung zwischen Eltern und erwachsenen Kindern wird aber bloss erfasst, wenn ein besonderes Abhängigkeitsverhältnis besteht ( BGE 137 I 154 E. 3.4.2 S. 159; 129 II 11 E. 2 S. 13 f.). Ein solches ergibt sich aus den für das Bundesgericht verbindlichen vorinstanzlichen Feststellungen mit Bezug auf die Mutter des Beschwerdeführers nicht; die Behauptung in der Beschwerdeschrift, er sei deren einziger soziale Kontakt, ist nicht belegt und erscheint angesichts seiner längeren, durch den Strafvollzug bedingten Auslandsabwesenheit auch wenig glaubhaft. Seine Tochter sodann war im Zeitpunkt des vorinstanzlichen Urteils bereits nahe der Volljährigkeit. Seinen wirtschaftlichen Verpflichtungen ihr gegenüber konnte der Beschwerdeführer, wie er selbst zugesteht, in der Vergangenheit nicht nachkommen, und die Pflege von altersadäquaten persönlichen Beziehungen mit seiner Tochter ist auch von Österreich aus möglich. Auch sonst ist nicht ersichtlich, dass die Verweigerung der Aufenthaltsbewilligung für den Beschwerdeführer eine besondere Härte bedeuten würde und deshalb unverhältnismässig sein könnte. Als österreichischer Staatsangehöriger steht ihm die Möglichkeit offen, sich in seinem Heimatland niederzulassen, wo er mit den hiesigen sehr ähnliche Lebensverhältnisse antreffen wird, weshalb die Verweigerung der Aufenthaltsbewilligung auch aus diesem Grund insgesamt nicht mit einer unzumutbaren Härte verbunden ist.</w:t>
      </w:r>
    </w:p>
    <w:p>
      <w:r>
        <w:rPr>
          <w:b/>
        </w:rPr>
        <w:t>E. 3.4</w:t>
      </w:r>
    </w:p>
    <w:p>
      <w:r>
        <w:t>Zusammenfassend ergibt sich, dass angesichts des langjährigen, deliktischen Verhaltens des Beschwerdeführers die Voraussetzungen für eine Verweigerung der Aufenthaltsbewilligung erfüllt sind. Namentlich steht fest, dass sich die Vorinstanz nicht von rein generalpräventiven Überlegungen hat leiten lassen, sondern - im Gegenteil - auf die konkrete Gefährdung der öffentlichen Sicherheit abgestellt hat, welche vom Beschwerdeführer ausgeht. Diese hat in Verurteilungen von bisher insgesamt über sieben Jahren Freiheitsstrafe Ausdruck gefunden.</w:t>
      </w:r>
    </w:p>
    <w:p>
      <w:r>
        <w:rPr>
          <w:b/>
        </w:rPr>
        <w:t>E. 4</w:t>
      </w:r>
    </w:p>
    <w:p>
      <w:r>
        <w:t>Nach dem Ausgeführten ist die Beschwerde unbegründet und somit abzuweisen. Dem Verfahrensausgang entsprechend sind die Gerichtskosten ( Art. 65 BGG ) dem Beschwerdeführer aufzuerlegen ( Art. 66 Abs. 1 Satz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