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2C_47/2012 vom 28. Juni 2012</w:t>
      </w:r>
    </w:p>
    <w:p>
      <w:r>
        <w:t>Bundesgericht, 2012-06-28, FR</w:t>
      </w:r>
    </w:p>
    <w:p>
      <w:r>
        <w:rPr>
          <w:b/>
        </w:rPr>
        <w:t xml:space="preserve">Quelle: </w:t>
      </w:r>
      <w:r>
        <w:t>https://mcp.opencaselaw.ch/entscheid/bger_2C_47_2012</w:t>
      </w:r>
    </w:p>
    <w:p>
      <w:r>
        <w:t>FR: TF 2C_47/2012 du 28 juin 2012</w:t>
      </w:r>
    </w:p>
    <w:p>
      <w:r>
        <w:t>IT: TF 2C_47/2012 del 28 giugno 2012</w:t>
      </w:r>
    </w:p>
    <w:p>
      <w:pPr>
        <w:pStyle w:val="Heading2"/>
      </w:pPr>
      <w:r>
        <w:t>Erwägungen</w:t>
      </w:r>
    </w:p>
    <w:p>
      <w:r>
        <w:rPr>
          <w:b/>
        </w:rPr>
        <w:t>E. 1</w:t>
      </w:r>
    </w:p>
    <w:p>
      <w:r>
        <w:t>Le Tribunal cantonal a rendu un seul arrêt valant aussi bien pour l'impôt fédéral direct (IFD) que pour les impôts cantonal et communal (ICC), ce qui est admissible, dès lors que la question juridique à trancher est réglée de la même façon en droit fédéral et dans le droit cantonal harmonisé (cf. ATF 135 II 260 consid. 1.3.1 p. 262). Dans ces circonstances, on ne peut reprocher au recourant d'avoir formé les mêmes griefs et pris des conclusions valant pour les deux catégories d'impôts dans un seul et même acte adressé au Tribunal fédéral (cf. ATF 135 II 260 consid. 1.3.3 p. 264). Par souci d'unification par rapport à d'autres cantons dans lesquels deux décisions sont rendues, la Cour de céans a toutefois ouvert deux dossiers, l'un concernant l'IFD (2C_47/2012), l'autre l'ICC (2C_48/2012).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l'IFD, à l'art. 146 de la loi fédérale du 14 décembre 1990 sur l'impôt fédéral direct (LIFD; RS 642.11) et, pour l'ICC, à l'art. 73 al. 1 de la loi fédérale du 14 décembre 1990 sur l'harmonisation des impôts directs des cantons et des communes (LHID; RS 642.14), dès lors que le recours concerne le calcul du revenu imposable du recourant pour la période de taxation 2009, soit une matière harmonisée figurant à l'art. 10 de ladite loi. Le recours a en outre été déposé en temps utile ( art. 100 al. 1 LTF ) et dans les formes requises ( art. 42 LTF ) par le contribuable destinataire de l'acte attaqué qui a qualité pour recourir ( art. 89 al. 1 LTF ), de sorte qu'il est en principe recevable.</w:t>
      </w:r>
    </w:p>
    <w:p>
      <w:r>
        <w:rPr>
          <w:b/>
        </w:rPr>
        <w:t>E. 2.2</w:t>
      </w:r>
    </w:p>
    <w:p>
      <w:r>
        <w:t>En raison de l'effet dévolutif complet du recours déposé auprès du Tribunal cantonal ( ATF 136 II 539 consid. 1.2 p. 543), la conclusion du recourant tendant à l'annulation de la décision du Service cantonal des contributions du 20 mai 2010 est toutefois irrecevable.</w:t>
      </w:r>
    </w:p>
    <w:p>
      <w:r>
        <w:rPr>
          <w:b/>
        </w:rPr>
        <w:t>E. 3.1</w:t>
      </w:r>
    </w:p>
    <w:p>
      <w:r>
        <w:t>Le Tribunal fédéral fonde son raisonnement juridique sur les faits constatés par l'autorité précédente ( art. 105 al. 1 LTF ), à moins que ces faits n'aient été établis de façon manifestement inexacte - notion qui correspond à celle d'arbitraire ( ATF 137 I 58 consid. 4.1.2 p. 62;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 Une rectification de l'état de fait ne peut au surplus être demandée que si elle est de nature à influer sur le sort de la cause ( art. 97 al.1 LTF ). Aucun fait nouveau ni preuve nouvelle ne peut être présenté à moins de résulter de la décision de l'autorité précédente ( art. 99 al. 1 LTF ).</w:t>
      </w:r>
    </w:p>
    <w:p>
      <w:r>
        <w:rPr>
          <w:b/>
        </w:rPr>
        <w:t>E. 3.2</w:t>
      </w:r>
    </w:p>
    <w:p>
      <w:r>
        <w:t>En l'espèce, le recourant se réfère pour la première fois devant le Tribunal fédéral à l'imposition de son père intervenue le 28 juillet 2011 dans le canton de Vaud, après production de l'acte de vente des actions des sociétés A.________ SA et C.________ SA. Il admet qu'il s'agit d'un fait nouveau, mais relève qu'il découle de la mention, dans l'arrêt attaqué, de l'appartenance des actions à la fortune commerciale de son père. A ce sujet, le recourant se prévaut d'une inégalité de traitement et relève que le gain en capital réalisé lors de cette vente a été considéré comme provenant d'éléments de la fortune privée, de sorte qu'il n'a pas été imposé. La question de savoir si ce fait et le grief qui en découle sont admissibles au regard de l' art. 99 al. 1 LTF peut demeurer indécise, dans la mesure où l'imposition du père du recourant relève d'une situation différente et d'un autre canton. Elle ne saurait dès lors influer sur l'imposition du recourant lui-même, qui seule doit être examinée.</w:t>
      </w:r>
    </w:p>
    <w:p>
      <w:r>
        <w:t>Pour le reste, le recourant critique les faits constatés par la juridiction cantonale comme il le ferait devant une autorité d'appel, mais ne prétend pas qu'ils seraient manifestement inexacts ou arbitraires, de sorte que le Tribunal fédéral n'a aucun motif de s'écarter de l'état de faits retenu dans l'arrêt attaqué ( art. 105 al. 1 LTF ).</w:t>
      </w:r>
    </w:p>
    <w:p>
      <w:r>
        <w:t>I. Impôt fédéral direct</w:t>
      </w:r>
    </w:p>
    <w:p>
      <w:r>
        <w:rPr>
          <w:b/>
        </w:rPr>
        <w:t>E. 4</w:t>
      </w:r>
    </w:p>
    <w:p>
      <w:r>
        <w:t>Invoquant une violation de l' art. 18 al. 2 LIFD , le recourant conteste principalement que les actions des trois sociétés concernées aient fait partie de sa fortune commerciale, dès lors qu'elles ont été acquises sur une longue période, dans le seul but d'investir sa fortune privée dans des sociétés qu'il connaissait, créées bien avant qu'il ne commence son activité professionnelle d'indépendant dans le domaine des installations techniques et des téléréseaux. Il n'en a tiré aucun avantage commercial pour sa propre entreprise, comme le démontre l'évolution de son chiffre d'affaires, et les mandats qu'il a exercés auprès de ces sociétés lui ont été attribués uniquement en raison de ses compétences professionnelles et non parce qu'il était actionnaire.</w:t>
      </w:r>
    </w:p>
    <w:p>
      <w:r>
        <w:rPr>
          <w:b/>
        </w:rPr>
        <w:t>E. 4.1</w:t>
      </w:r>
    </w:p>
    <w:p>
      <w:r>
        <w:t>D'après l' art. 16 al. 3 LIFD , les gains en capital réalisés lors de l'aliénation d'éléments de la fortune privée ne sont pas imposables. En revanche, l' art. 18 al. 2 LIFD prescrit que tous les bénéfices en capital provenant de l'aliénation, de la réalisation ou de la réévaluation comptable d'éléments de la fortune commerciale font partie du produit de l'activité lucrative indépendante. Il précise que la fortune commerciale comprend tous les éléments de fortune qui servent, entièrement ou de manière prépondérante, à l'exercice de l'activité lucrative indépendante.</w:t>
      </w:r>
    </w:p>
    <w:p>
      <w:r>
        <w:rPr>
          <w:b/>
        </w:rPr>
        <w:t>E. 4.2</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(arrêt 2C_1023/2011 du 10 mai 2012 consid. 6.1 et les arrêts cités). La notion d'activité lucrative indépendante s'interprète largement (cf. ATF 125 II 113 consid. 5e p. 122 ss; arrêts 2C_455/2011 du 5 avril 2012, consid. 5.1 et 2A.105/2007 du 3 septembre 2007 consid. 3.2, in RDAF 2007 II p. 299; YVES NOËL, in Commentaire romand, Impôt fédéral direct, 2008, n° 14 ad art. 18 LIFD ), de sorte que seuls sont considérés comme des gains privés en capital exonérés d'impôt ceux qui sont obtenus par un particulier de manière fortuite ou dans le cadre de la simple administration de sa fortune privée ( ATF 125 II 113 consid. 5e p. 123; 122 II 446 consid. 3 p. 448 ss). Dès que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 ATF 122 II 446 consid. 5a p. 452) et même si l'activité n'est exercée que de manière accessoire ou temporaire ( ATF 125 II 113 consid. 5b p. 121), voire occasionnelle (cf. arrêts précités 2C_455/2011 du 5 avril 2012, consid. 5.1 et 2C_349/2009 du 16 novembre 2009, consid. 4.1 et la jurisprudence citée).</w:t>
      </w:r>
    </w:p>
    <w:p>
      <w:r>
        <w:t>En ce qui concerne les droits de participation, ceux-ci ressortissent à la fortune commerciale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 précité 2C_1023/2011 du 10 mai 2012, consid. 6.2 et arrêt 2A.431/2000 du 9 avril 2001, consid. 4c, publié notamment in Archives 71 p. 288 ss et RDAF 2001 II 16 ss). L'élément déterminant est la volonté du contribuable de mettre concrètement à profit ses droits de participation pour améliorer le résultat commercial de son entreprise (YVES NOËL, op. cit. n. 73 ad art. 18 LIFD ).</w:t>
      </w:r>
    </w:p>
    <w:p>
      <w:r>
        <w:rPr>
          <w:b/>
        </w:rPr>
        <w:t>E. 4.3</w:t>
      </w:r>
    </w:p>
    <w:p>
      <w:r>
        <w:t>En l'espèce, la Cour cantonale a retenu en fait, d'une manière qui lie le Tribunal fédéral ( art. 105 al. 1 LTF ; supra consid. 3.2 i.f), que les droits de participation avaient bien servi à améliorer les résultats commerciaux de l'entreprise du recourant et non uniquement à accroître sa fortune privée. Elle a notamment tenu compte de la relation étroite entre l'activité indépendante du recourant et la prise de participations, certes minoritaires, mais tout de même importantes dans les trois sociétés anonymes actives dans les téléréseaux, ce qui a généré du travail pour l'entreprise individuelle du recourant, indépendamment du fait que des mandats ont été confiés à ce dernier en raison de ses compétences individuelles. En se portant acquéreur des actions de son père, le recourant a aussi pu bénéficier des relations commerciales de ce dernier, déjà actif dans la branche.</w:t>
      </w:r>
    </w:p>
    <w:p>
      <w:r>
        <w:t>De son côté, le recourant se contente de présenter sa propre version des faits. Il fait valoir que les sociétés ont été créées bien avant qu'il ne commence son activité d'indépendant et qu'il n'a acquis que très progressivement des droits de participation: en 1998 (20 actions), 1999 (40 actions), 2002 (20 actions), 2003 (15 actions) et 2004 (30 actions), ce qui démontrerait qu'il entendait procéder petit à petit à l'investissement de sa fortune privée dans des sociétés qu'il connaissait. Quant aux mandats d'administrateur qu'il a exercés au sein des sociétés A.________ SA, du 17 février 2005 au 19 février 2009 et B.________ SA, du 2 mai 2002 au 30 avril 2009, ils ne lui ont pas permis de s'attribuer des travaux qui lui auraient été confiés de toute façon en raison de ses compétences. A cet égard, le recourant se plaint que les déclarations des anciens directeurs confirmant l'absence de liens entre l'acquisition des actions et l'attribution des mandats aient été passées sous silence dans le jugement entrepris. Il en déduit que les autorités cantonales n'ont pas établi sa volonté de mettre à profit ses droits de participation pour améliorer le résultat commercial de sa propre entreprise, élément déterminant pour attribuer ses actions à sa fortune commerciale. A titre subsidiaire, dans la mesure où le dossier ne serait pas suffisant pour trancher ce point, il demande que la cause soit renvoyée au Service cantonal des contributions.</w:t>
      </w:r>
    </w:p>
    <w:p>
      <w:r>
        <w:rPr>
          <w:b/>
        </w:rPr>
        <w:t>E. 4.4</w:t>
      </w:r>
    </w:p>
    <w:p>
      <w:r>
        <w:t>Il est établi que le fait d'acquérir des droits de participation dans la même branche économique a favorisé les activités du recourant. Le dossier contient en effet suffisamment d'éléments pour considérer que les différentes acquisitions de droits de participation du recourant, principalement auprès de son père, étaient destinées à améliorer le résultat commercial de l'entreprise individuelle de l'intéressé et non simplement à accroître ses activités en investissant dans d'autres sociétés connues. On ne peut donc reprocher au Tribunal cantonal d'avoir considéré qu'il existait une corrélation étroite entre l'activité indépendante et la prise de participations du recourant dans les trois sociétés anonymes, où celui-ci avait exercé des fonctions d'administrateur dans deux d'entre elles. Il a par ailleurs été constaté que ces acquisitions avaient permis de générer du travail pour la raison individuelle nouvellement créée, en lui donnant des impulsions fructueuses. Sur ces points, le recourant ne soulève même pas le grief d'arbitraire. Indépendamment des déclarations des anciens directeurs, on peut certes lui concéder qu'il n'aurait sans doute pas obtenu des mandats de la part des trois sociétés en cause s'il n'avait pas été compétent en matière de téléréseaux. Cela ne modifie toutefois pas le fait que la reprise de actions de son père (95 sur les 125 actions acquises) a grandement favorisé ses relations dans le milieu et lui a permis de mettre ses compétences en valeur. Comme l'ont constaté les premiers juges, il n'est pas décisif de savoir si c'est ou non par erreur que le recourant a lui-même déclaré les participations acquises dans sa fortune commerciale.</w:t>
      </w:r>
    </w:p>
    <w:p>
      <w:r>
        <w:t>Sur la base des constatations figurant dans l'arrêt attaqué, on ne peut donc reprocher à l'autorité cantonale d'avoir considéré que les participations du recourant vendues en 2009 faisaient partie de sa fortune commerciale, de sorte que le bénéfice réalisé lors de la vente était imposable en vertu de l' art. 18 al. 2 LIFD .</w:t>
      </w:r>
    </w:p>
    <w:p>
      <w:r>
        <w:t>II. Impôts cantonal et communal</w:t>
      </w:r>
    </w:p>
    <w:p>
      <w:r>
        <w:rPr>
          <w:b/>
        </w:rPr>
        <w:t>E. 5</w:t>
      </w:r>
    </w:p>
    <w:p>
      <w:r>
        <w:t>D'après l' art. 8 al. 1 LHID , le produit de l'activité lucrative indépendante comprend tous les bénéfices en capital provenant du transfert dans la fortune privée de la fortune commerciale. Quant à l'art. 19 de la loi fribourgeoise du 6 juin 2000 sur les impôts cantonaux directs (RSF 631.1), sa teneur est identique à celle de l' art. 18 LIFD , de sorte qu'il peut être renvoyé aux considérants relatifs à l'impôt fédéral direct pour la qualification des prises de participation et leur attribution à la fortune commerciale du recourant.</w:t>
      </w:r>
    </w:p>
    <w:p>
      <w:r>
        <w:rPr>
          <w:b/>
        </w:rPr>
        <w:t>E. 6</w:t>
      </w:r>
    </w:p>
    <w:p>
      <w:r>
        <w:t>Au vu de ce qui précède, le recours doit être rejeté dans la mesure de sa recevabilité, tant en matière d'IFD qu'en ce qui concerne l'ICC. Succombant sur l'ensemble de ses conclusions, le recourant supportera les frais judiciaires ( art. 66 al. 1 LTF ). Le canton de Fribourg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