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2C_478/2011 vom 10. November 2011</w:t>
      </w:r>
    </w:p>
    <w:p>
      <w:r>
        <w:t>Bundesgericht, 2011-11-10, DE</w:t>
      </w:r>
    </w:p>
    <w:p>
      <w:r>
        <w:rPr>
          <w:b/>
        </w:rPr>
        <w:t xml:space="preserve">Quelle: </w:t>
      </w:r>
      <w:r>
        <w:t>https://mcp.opencaselaw.ch/entscheid/bger_2C_478_2011</w:t>
      </w:r>
    </w:p>
    <w:p>
      <w:r>
        <w:t>FR: TF 2C_478/2011 du 10 novembre 2011</w:t>
      </w:r>
    </w:p>
    <w:p>
      <w:r>
        <w:t>IT: TF 2C_478/2011 del 10 novembre 2011</w:t>
      </w:r>
    </w:p>
    <w:p>
      <w:pPr>
        <w:pStyle w:val="Heading2"/>
      </w:pPr>
      <w:r>
        <w:t>Erwägungen</w:t>
      </w:r>
    </w:p>
    <w:p>
      <w:r>
        <w:rPr>
          <w:b/>
        </w:rPr>
        <w:t>E. 1.1</w:t>
      </w:r>
    </w:p>
    <w:p>
      <w:r>
        <w:t>Beim angefochtenen Entscheid handelt es sich um einen kantonal letztinstanzlichen Endentscheid betreffend die Kantonssteuern. Dagegen steht gemäss Art. 82 ff. BGG in Verbindung mit Art. 73 StHG (SR. 642.14) die Beschwerde in öffentlich-rechtlichen Angelegenheiten an das Bundesgericht offen. Die Beschwerdeführerin ist gestützt auf Art. 89 Abs. 1 BGG zur Beschwerde in öffentlich-rechtlichen Angelegenheiten legitimiert. Auf die frist- und formgerecht eingereichte Beschwerde ist grundsätzlich einzutreten.</w:t>
      </w:r>
    </w:p>
    <w:p>
      <w:r>
        <w:rPr>
          <w:b/>
        </w:rPr>
        <w:t>E. 1.2</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w:t>
      </w:r>
    </w:p>
    <w:p>
      <w:r>
        <w:rPr>
          <w:b/>
        </w:rPr>
        <w:t>E. 1.3</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w:t>
      </w:r>
    </w:p>
    <w:p>
      <w:r>
        <w:t>Die beim Bundesgericht eingereichte "Beschwerde" unterscheidet sich nur marginal von der Eingabe, welche die Beschwerdeführerin vor Verwaltungsgericht eingereicht hat. Die Beschwerdebegründung setzt sich in keiner Weise mit den differenzierten Erwägungen des Verwaltungsgerichts auseinander und legt nicht - auch nicht in gedrängter Form - dar, inwiefern diese Bundesrecht verletzen. Es erscheint deshalb als höchst fraglich, ob überhaupt eine formgültige Beschwerde vorliegt ( BGE 134 II 244 E. 2.3 S. 246 f.). Die Frage kann jedoch offen bleiben, da die Beschwerde ohnehin abgewiesen werden muss.</w:t>
      </w:r>
    </w:p>
    <w:p>
      <w:r>
        <w:rPr>
          <w:b/>
        </w:rPr>
        <w:t>E. 2.1</w:t>
      </w:r>
    </w:p>
    <w:p>
      <w:r>
        <w:t>Gegenstand der Gewinnsteuer ist nach Art. 68 des Steuergesetzes des Kantons Appenzell Ausserrhoden vom 21. Mai 2000 (StG AR; bGS 621.11) der Reingewinn. Zur Ermittlung des steuerbaren Reingewinnes sind gemäss Art. 69 Abs. 2 lit. b StG AR u.a. geschäftsmässig nicht begründete Rückstellungen aufzurechnen. Geschäftsmässig begründet sind nach Art. 73 Abs. 1 lit. b StG AR "Rückstellungen, die dem Ausgleich drohender Verluste oder von Verpflichtungen dienen, die im Bestand oder dem Umfang nach noch unbestimmt sind". Diese Bestimmung harmoniert mit Art. 24 Abs. 4 in Verbindung mit Art. 10 Abs. 1 lit. b StHG und hat ihre Entsprechung in Art. 63 DBG (SR 642.11). Art. 73 Abs. 1 lit. b StG AR ist deshalb im Lichte des Bundessteuerrechts zu deuten. Die echte Rückstellung ist ein Buchungsvorgang, mit dem unter den Passiven der Jahresbilanz zu Lasten der Erfolgsrechnung einer Verbindlichkeit, die am Ende des Geschäftsjahres zwar besteht, aber in ihrem Bestand und/oder in ihrer Höhe nicht genau feststeht, Rechnung getragen wird ( BGE 103 Ib 366 E. 4 S. 370 f. mit Hinweisen; vgl. neuerdings Urteil 2C_392/2009 vom 23. August 2010 E. 2.3, in: ASA 79, S. 704 ff., 709, mit Hinweisen). Soweit "drohende Verluste" berücksichtigt werden sollen, ist anerkannt, dass für zukünftige Risiken bzw. Ertragseinbussen keine Rückstellungen gebildet werden dürfen (ROBERT DANON, in: Noël/Yersin (ed.), Commentaire romand de la LIFD, 2008, N 34 f. ad art. 63 LIFD; PETER LOCHER, Kommentar zum DBG, 1. Teil, 2001, Rz. 18 ff. zu Art. 29 DBG ; MARKUS REICH/MARINA ZÜGER, Kommentar zum Schweizerischen Steuerrecht [I/2a], Bundesgesetz über die direkte Bundessteuer [DBG], 2. Aufl. 2008, Rz. 37 zu Art. 29 DBG ; FELIX RICHNER/WALTER FREI/STEFAN KAUFMANN/HANS ULRICH MEUTER, Handkommentar zum DBG, 2. Aufl. 2009, Rz. 4 zu Art. 29 DBG ).</w:t>
      </w:r>
    </w:p>
    <w:p>
      <w:r>
        <w:rPr>
          <w:b/>
        </w:rPr>
        <w:t>E. 2.2</w:t>
      </w:r>
    </w:p>
    <w:p>
      <w:r>
        <w:t>Die Vorinstanz begründet einlässlich, weshalb hier die Voraussetzungen zur Bildung einer Rückstellung nicht erfüllt waren:</w:t>
      </w:r>
    </w:p>
    <w:p>
      <w:r>
        <w:rPr>
          <w:b/>
        </w:rPr>
        <w:t>E. 2.2.1</w:t>
      </w:r>
    </w:p>
    <w:p>
      <w:r>
        <w:t>Die Beschwerdeführerin vermochte ihr Honorar von rund 2,7 Mio. Franken für die Entwicklung des Projekts "Z.________" in P.________ restlos einzunehmen. Die Bildung einer Rückstellung wegen unsicheren Honorareingangs war damit nicht erforderlich. Sie wird im Übrigen auch nicht auf diese Weise begründet.</w:t>
      </w:r>
    </w:p>
    <w:p>
      <w:r>
        <w:rPr>
          <w:b/>
        </w:rPr>
        <w:t>E. 2.2.2</w:t>
      </w:r>
    </w:p>
    <w:p>
      <w:r>
        <w:t>Die Beschwerdeführerin behauptet jedoch, dass sie mit dem Entwicklungsprojekt gegenüber den Investoren und der Totalunternehmerin (G.________ AG) die Verpflichtung eingegangen sei, dass dieses Projekt auch wirklich erfolgsversprechend sei. Allerdings ist eine derartige "Gewährleistung" nicht dargetan, zumal die Auftragserteilung an die Beschwerdeführerin nur mündlich erteilt worden sein soll. Dass das Entwicklungsprojekt selbst mangelhaft gewesen sei, wird nicht behauptet. Auch mit diesem Ansatz erweist sich die Rückstellung nicht als geschäftsmässig begründet.</w:t>
      </w:r>
    </w:p>
    <w:p>
      <w:r>
        <w:rPr>
          <w:b/>
        </w:rPr>
        <w:t>E. 2.2.3</w:t>
      </w:r>
    </w:p>
    <w:p>
      <w:r>
        <w:t>Schliesslich leitet die Beschwerdeführerin die Rückstellung aus "drohenden Verlusten" ab. Als konkrete Risiken nennt sie durch die Hanglage bedingte geologische Probleme, welche zu Bauverzögerungen, Mehrkosten und Terminschwierigkeiten geführt hätten. Dazu sei ein strenger Winter und die Lage am Finanzmarkt gekommen, mit der Folge, dass billiges Geld nicht mehr so einfach erhältlich gewesen sei. Auch dieser Ansatz ist mit der Vorinstanz nicht geeignet, die geschäftsmässige Begründetheit der Rückstellung darzutun, handelt es sich doch um Risiken, die einerseits die Unternehmerin (G.________ AG) zu tragen hat bzw. um solche, die dem allgemeinen Unternehmerrisiko zuzurechnen sind.</w:t>
      </w:r>
    </w:p>
    <w:p>
      <w:r>
        <w:rPr>
          <w:b/>
        </w:rPr>
        <w:t>E. 2.2.4</w:t>
      </w:r>
    </w:p>
    <w:p>
      <w:r>
        <w:t>Sollte der Wert der Liegenschaft "Z.________, P.________" durch diese Ursachen gesunken sein, wäre diesem Umstand allenfalls durch eine ausserordentliche Abschreibung Rechnung zu tragen. Aber dies behauptet die Beschwerdeführerin selbst nicht.</w:t>
      </w:r>
    </w:p>
    <w:p>
      <w:r>
        <w:rPr>
          <w:b/>
        </w:rPr>
        <w:t>E. 3</w:t>
      </w:r>
    </w:p>
    <w:p>
      <w:r>
        <w:t>Damit ist die Beschwerde in öffentlich-rechtlichen Angelegenheiten betreffend die Staats- und Gemeindesteuer 2004/2005 unbegründet und abzuweisen, soweit darauf eingetreten werden kann. 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