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2C_476/2012 vom 30. Oktober 2012</w:t>
      </w:r>
    </w:p>
    <w:p>
      <w:r>
        <w:t>Bundesgericht, 2012-10-30, DE</w:t>
      </w:r>
    </w:p>
    <w:p>
      <w:r>
        <w:rPr>
          <w:b/>
        </w:rPr>
        <w:t xml:space="preserve">Quelle: </w:t>
      </w:r>
      <w:r>
        <w:t>https://mcp.opencaselaw.ch/entscheid/bger_2C_476_2012</w:t>
      </w:r>
    </w:p>
    <w:p>
      <w:r>
        <w:t>FR: TF 2C_476/2012 du 30 octobre 2012</w:t>
      </w:r>
    </w:p>
    <w:p>
      <w:r>
        <w:t>IT: TF 2C_476/2012 del 30 ottobre 2012</w:t>
      </w:r>
    </w:p>
    <w:p>
      <w:pPr>
        <w:pStyle w:val="Heading2"/>
      </w:pPr>
      <w:r>
        <w:t>Erwägungen</w:t>
      </w:r>
    </w:p>
    <w:p>
      <w:r>
        <w:rPr>
          <w:b/>
        </w:rPr>
        <w:t>E. 1.1</w:t>
      </w:r>
    </w:p>
    <w:p>
      <w:r>
        <w:t>Gemäss Art. 83 lit. c Ziff. 2 BGG ist die Beschwerde in öffentlich-rechtlichen Angelegenheiten unzulässig gegen Entscheide betreffend Bewilligungen, auf die weder das Bundesrecht noch das Völkerrecht einen Anspruch einräumt. Als portugiesischer Staatsangehöriger kann sich der Beschwerdeführer auf das Abkommen vom 21. Juni 1999 zwischen der Schweizerischen Eidgenossenschaft einerseits und der Europäischen Union und ihren Mitgliedstaaten andererseits über die Freizügigkeit (Freizügigkeitsabkommen, FZA; SR 0.142.112.681) berufen, welches ihm einen grundsätzlichen Anspruch auf Erteilung einer Aufenthaltsbewilligung einräumt ( Art. 4 FZA ; Art. 6 Abs. 1 Anhang I FZA ; vgl. E. 3.1 hiernach). Auf die im Übrigen form- und fristgerecht eingereichte Beschwerde ( Art. 42 und Art. 100 Abs. 1 BGG ) ist daher grundsätzlich einzutreten (unter Vorbehalt von E. 1.2 und E. 1.3 hiernach).</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Im vorliegenden Fall erhebt der Beschwerdeführer keine Rüge, die Feststellung des Sachverhalts sei offensichtlich unrichtig (Art. 97 Abs. 1 bzw. Art. 105 Abs. 2 BGG ), weshalb die Feststellungen der Vorinstanz für das Bundesgericht grundsätzlich verbindlich sind.</w:t>
      </w:r>
    </w:p>
    <w:p>
      <w:r>
        <w:rPr>
          <w:b/>
        </w:rPr>
        <w:t>E. 2.1</w:t>
      </w:r>
    </w:p>
    <w:p>
      <w:r>
        <w:t>Die mehrfach erhobene Rüge des Beschwerdeführers, die Vorinstanz habe die Begründungspflicht und damit seinen Gehörsanspruch verletzt, erweist sich vorab als unbegründet: Aus dem Anspruch auf rechtliches Gehör nach Art. 29 Abs. 2 BV folgt zwar in der Tat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Rechtsuchende soll wissen, warum die Behörde entgegen seinem Antrag entschieden hat, damit er gegebenenfalls den Entscheid sachgerecht anfechten kann ( BGE 133 I 270 E. 3.1 S. 277 mit Hinweisen). Diesen Anforderungen genügt der vorinstanzliche Entscheid.</w:t>
      </w:r>
    </w:p>
    <w:p>
      <w:r>
        <w:rPr>
          <w:b/>
        </w:rPr>
        <w:t>E. 2.2</w:t>
      </w:r>
    </w:p>
    <w:p>
      <w:r>
        <w:t>Ebenso wenig durchzudringen vermag der Beschwerdeführer mit der Rüge, die Vorinstanz habe den Anspruch auf rechtliches Gehör verletzt, indem seine Freundin bzw. er selber von der Vorinstanz nicht persönlich angehört worden sei. Zwar umfasst der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Auf die Einvernahme der Freundin des Beschwerdeführers durfte die Vorinstanz verzichten, da sie dieser Beziehung keine rechtserhebliche Bedeutung zumisst (vgl. E. 3.4 hiernach). Was den Beschwerdeführer betrifft, so liegen dessen Aussagen den Akten bei. Er hatte zudem genügend Gelegenheit, sich zu äussern und allenfalls weitere Belege einzureichen, um seinen Standpunkt darzulegen. Im Übrigen bilden aufenthaltsrechtliche Entscheide keine zivil- oder strafrechtlichen Streitigkeiten im Sinne von Art. 6 EMRK , auch wenn sie im Zusammenhang mit einer Erwerbstätigkeit oder einer strafrechtlichen Verurteilung stehen (vgl. BGE 137 I 128 E. 4.4.2 S. 133 f. mit Hinweisen).</w:t>
      </w:r>
    </w:p>
    <w:p>
      <w:r>
        <w:rPr>
          <w:b/>
        </w:rPr>
        <w:t>E. 3.1</w:t>
      </w:r>
    </w:p>
    <w:p>
      <w:r>
        <w:t>Die Erteilung bzw. der Widerruf von Aufenthaltsbewilligungen richtet sich grundsätzlich nach dem Bundesgesetz vom 16. Dezember 2005 über die Ausländerinnen und Ausländer (Ausländergesetz, AuG; SR 142.20). Für Staatsangehörige der Mitgliedstaaten der Europäischen Union hat das Ausländergesetz allerdings nur insoweit Geltung, als das Freizügigkeitsabkommen keine abweichende Bestimmung enthält oder das Ausländergesetz eine für den Ausländer vorteilhaftere Regelung enthält (Art. 2 Abs. 2 AuG), was hier indes nicht der Fall ist.</w:t>
      </w:r>
    </w:p>
    <w:p>
      <w:r>
        <w:t>Gemäss Art. 4 FZA i.V.m.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w:t>
      </w:r>
    </w:p>
    <w:p>
      <w:r>
        <w:t>Wie die Vorinstanz zutreffend ausgeführt hat, gilt dieser Anspruch jedoch nicht absolut. Er kann namentlich eingeschränkt werden, wenn von der ausländischen Person eine hinreichend schwere und gegenwärtige Gefährdung der öffentlichen Ordnung, Sicherheit oder Gesundheit ausgeht ( Art. 5 Anhang I FZA ). Dazu wird auf die Richtlinien 64/221/EWG (ABl. Nr. 56, 1964, S. 850), 72/194/EWG (ABl. Nr. L 121, 1972, S. 32) und 75/35/EWG (ABl. Nr. L 14, 1975, S. 10) Bezug genommen.</w:t>
      </w:r>
    </w:p>
    <w:p>
      <w:r>
        <w:t>Nach Art. 3 Absatz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wobei die in Kauf zu nehmende Rückfallgefahr desto geringer ist, je schwerer die möglichen Rechtsgüterverletzungen sind (Urteil 2C_903/2010 vom 6. Juni 2011 E. 4.3, nicht publ. in: BGE 137 II 233 ; BGE 136 II 5 E. 4.2 S. 20; je mit Hinweisen).</w:t>
      </w:r>
    </w:p>
    <w:p>
      <w:r>
        <w:rPr>
          <w:b/>
        </w:rPr>
        <w:t>E. 3.2</w:t>
      </w:r>
    </w:p>
    <w:p>
      <w:r>
        <w:t>Dem Urteil des Bezirksgerichts Plessur vom 11. Juni 2010 lag zugrunde, dass der Beschwerdeführer über einen Zeitraum von rund einem Jahr 505,2 Gramm reines Kokain sowie 4'550 Gramm Marihuana in Umlauf gebracht hat. Dafür wurde er zu einer Freiheitsstrafe von 36 Monaten verurteilt, die das Kantonsgericht von Graubünden am 9. September 2010 bestätigt hat. Die grosse Menge des gehandelten Rauschgifts sowie die dafür ausgesprochene Strafe von drei Jahren weisen auf ein sehr schweres Verschulden sowie auf eine ausgeprägte Gefährdung der öffentlichen Ordnung hin. Erschwerend kommt hinzu, dass der Beschwerdeführer gemäss dem Strafurteil einzig aus Gewinnsucht gehandelt hat und nicht zwecks Finanzierung des Eigenkonsums; er hat damit gesundheitliche Schäden anderer in Kauf genommen, nur um seine finanzielle Situation aufzubessern.</w:t>
      </w:r>
    </w:p>
    <w:p>
      <w:r>
        <w:t>Entgegen der Ansicht des Beschwerdeführers dauert die Gefährdung der öffentlichen Ordnung noch immer an: Am 4. November 2011 musste der Beschwerdeführer im Strafvollzug wegen Besitzes von Marihuana verwarnt werden. Aus diesem Umstand erhellt, dass der Beschwerdeführer auch nach seiner Verurteilung und jedenfalls bis in die jüngste Vergangenheit weiterhin mit Betäubungsmitteln in Kontakt stand und damit notwendigerweise auch über die entsprechenden Verbindungen für den Erwerb des Rauschgifts verfügte. Zwar mag es zutreffen, dass der erwähnte Besitz von Betäubungsmitteln im Strafvollzug kein erneutes Strafverfahren auslöste und es sich bei diesem Delikt nicht um eine schwere Verfehlung handelt. Massgebend ist jedoch, dass der Beschwerdeführer sein Verhalten trotz der Verbüssung einer Freiheitsstrafe und insbesondere trotz der von ihm behaupteten Resozialisierung offenbar nicht in dem Sinne grundlegend und nachhaltig korrigieren konnte, dass er von Drogen generell Abstand nimmt.</w:t>
      </w:r>
    </w:p>
    <w:p>
      <w:r>
        <w:t>An diesem Eindruck vermag auch der vom Beschwerdeführer zitierte Vollzugsbericht der Justizvollzugsanstalt bzw. das ins Recht gelegte ärztliche Zeugnis nichts zu ändern. Auch eine aus der Sicht des Massnahmenvollzugs positive Entwicklung oder ein klagloses Verhalten im Strafvollzug schliessen eine Rückfallgefahr und eine fremdenpolizeiliche Ausweisung nicht aus ( BGE 137 II 233 E. 5.2.2 mit Hinweisen).</w:t>
      </w:r>
    </w:p>
    <w:p>
      <w:r>
        <w:rPr>
          <w:b/>
        </w:rPr>
        <w:t>E. 3.3</w:t>
      </w:r>
    </w:p>
    <w:p>
      <w:r>
        <w:t>Somit ist nicht zu beanstanden, wenn die Vorinstanz eine gewisse Wahrscheinlichkeit angenommen hat, dass der Beschwerdeführer wieder deliktisch tätig wird. Gerade im Bereich des Betäubungsmittelhandels, der zur Beeinträchtigung der Gesundheit vieler Menschen führen kann, ist diese Rückfallgefahr umso weniger hinzunehmen (vgl. auch BGE 130 II 176 E. 4.3.1 S. 185 f.; Urteil des EGMR Dalia gegen Frankreich vom 19. Februar 1998, Recueil CourEDH 1998 I S. 76 insbes. § 54). Demzufolge durfte die Vorinstanz von einer hinreichend schweren und aktuellen Gefährdung der öffentlichen Sicherheit und Ordnung ausgehen.</w:t>
      </w:r>
    </w:p>
    <w:p>
      <w:r>
        <w:rPr>
          <w:b/>
        </w:rPr>
        <w:t>E. 3.4</w:t>
      </w:r>
    </w:p>
    <w:p>
      <w:r>
        <w:t>Dass der Widerruf der Aufenthaltsbewilligung verbunden mit einer Rückkehr nach Portugal für den Beschwerdeführer eine besondere Härte bedeuten würde und deshalb unverhältnismässig sein könnte, ist überdies nicht ersichtlich, da er sich nur während relativ kurzer Zeit und bloss zu Erwerbszwecken in der Schweiz aufgehalten hat. Nach seiner Einreise im Mai 2005 delinquierte der Beschwerdeführer bereits ab Februar 2009 erheblich mit Betäubungsmitteln; die Drogendelinquenz endete erst mit seiner Verhaftung im Januar 2010.</w:t>
      </w:r>
    </w:p>
    <w:p>
      <w:r>
        <w:t>Soweit sich der Beschwerdeführer schliesslich auf Art. 8 EMRK beruft und geltend macht, er pflege eine enge Beziehung zu seinen hier ansässigen Verwandten und seiner (Schweizer) Freundin, kann er daraus nichts zu seinen Gunsten ableiten. Dass zwischen ihm und seinen Familienangehörigen ein eigentliches Abhängigkeitsverhältnis (vgl. BGE 137 I 154 E. 3.4.2 S. 159; 129 II 11 E. 2 S. 14; 120 Ib 257 E. 1d und e S. 261 f.) bestünde, ist weder dargetan noch ersichtlich. Insoweit wird Art. 8 EMRK durch die fragliche Massnahme nicht verletzt. Die Beziehung zu seiner Freundin kann zwar in den Schutzbereich von Art. 8 EMRK fallen; dies setzt jedoch voraus, dass eine genügend nahe, echte und tatsächlich gelebte Beziehung besteht; entscheidend ist die Qualität des Familienlebens und nicht dessen rechtliche Begründung ( BGE 135 I 143 E. 3.1 S. 148). Ob die kinderlose, relativ kurze Beziehung als hinreichend stabil betrachtet werden kann, um dem Beschwerdeführer einen Bewilligungsanspruch gestützt auf Art. 8 EMRK einzuräumen, erscheint aufgrund der bundesgerichtlichen Praxis (vgl. Urteile 2C_225/2010 vom 4. Oktober 2010 E. 2.2 und 2C_300/2008 vom 17. Juni 2008 E. 4.2) als zweifelhaft. Die Frage kann jedoch dahingestellt bleiben, da ein Eingriff in das geschützte Privat- bzw. Familienleben nach Art. 8 Abs. 2 EMRK angesichts der Schwere der noch nicht weit zurückliegenden Straftätigkeit im Bereich des Betäubungsmittelhandels ohnehin verhältnismässig wäre (vgl. Urteil 2C_634/2011 vom 27. Juni 2012 mit Hinweisen).</w:t>
      </w:r>
    </w:p>
    <w:p>
      <w:r>
        <w:rPr>
          <w:b/>
        </w:rPr>
        <w:t>E. 3.5</w:t>
      </w:r>
    </w:p>
    <w:p>
      <w:r>
        <w:t>Zusammenfassend ergibt sich, dass angesichts der hiervor aufgezeigten Umstände die Voraussetzungen für eine Einschränkung im Sinne von Art. 5 Anhang I FZA im vorliegenden Fall erfüllt sind. Namentlich hat sich die Vorinstanz keineswegs von rein generalpräventiven Überlegungen leiten lassen, sondern - im Gegenteil - auf die konkrete Gefährdung der öffentlichen Sicherheit abgestellt, die vom Beschwerdeführer ausgeht. Der Widerruf der Aufenthaltsbewilligung EG/EFTA ist daher nicht zu beanstanden.</w:t>
      </w:r>
    </w:p>
    <w:p>
      <w:r>
        <w:rPr>
          <w:b/>
        </w:rPr>
        <w:t>E. 4</w:t>
      </w:r>
    </w:p>
    <w:p>
      <w:r>
        <w:t>Nach dem Ausgeführten ist die Beschwerde unbegründet und somit abzuweisen. Dem Verfahrensausgang entsprechend sind die Gerichtskosten ( Art. 65 BGG ) dem Beschwerdeführer aufzuerlegen ( Art. 66 Abs. 1 Satz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