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2C_473/2011 vom 17. Oktober 2011</w:t>
      </w:r>
    </w:p>
    <w:p>
      <w:r>
        <w:t>Bundesgericht, 2011-10-17, FR</w:t>
      </w:r>
    </w:p>
    <w:p>
      <w:r>
        <w:rPr>
          <w:b/>
        </w:rPr>
        <w:t xml:space="preserve">Quelle: </w:t>
      </w:r>
      <w:r>
        <w:t>https://mcp.opencaselaw.ch/entscheid/bger_2C_473_2011</w:t>
      </w:r>
    </w:p>
    <w:p>
      <w:r>
        <w:t>FR: TF 2C_473/2011 du 17 octobre 2011</w:t>
      </w:r>
    </w:p>
    <w:p>
      <w:r>
        <w:t>IT: TF 2C_473/2011 del 17 ottobre 2011</w:t>
      </w:r>
    </w:p>
    <w:p>
      <w:pPr>
        <w:pStyle w:val="Heading2"/>
      </w:pPr>
      <w:r>
        <w:t>Erwägungen</w:t>
      </w:r>
    </w:p>
    <w:p>
      <w:r>
        <w:rPr>
          <w:b/>
        </w:rPr>
        <w:t>E. 1</w:t>
      </w:r>
    </w:p>
    <w:p>
      <w:r>
        <w:t>Le recours est dirigé contre un jugement final (cf. art. 90 LTF ) rendu dans une cause de droit public (cf. art. 82 let. a LTF ) par un tribunal cantonal supérieur (cf. art. 86 al. 1 let . d et al. 2 LTF).</w:t>
      </w:r>
    </w:p>
    <w:p>
      <w:r>
        <w:t>En vertu de l'art. 14 al. 2 de l'ordonnance du 17 novembre 1999 sur l'organisation du Département fédéral de justice et police (Org DFJP; RS 172.213.1), l'Office fédéral des migrations a qualité pour recourir devant le Tribunal fédéral (cf. art. 89 al. 2 let. a LTF ), dans le domaine du droit des étrangers, contre des décisions cantonales de dernière instance.</w:t>
      </w:r>
    </w:p>
    <w:p>
      <w:r>
        <w:t>Confirmant la révocation de l'autorisation d'établissement du recourant, la décision attaquée peut faire l'objet d'un recours en matière de droit public, dès lors qu'il existe en principe un droit au maintien d'une telle autorisation (cf. ATF 135 II 1 consid. 1.2.1 p. 4). La présente cause ne tombe ainsi pas sous le coup de l' art. 83 let . c ch. 2 LTF, ni d'aucune autre clause d'irrecevabilité figurant à l' art. 83 LTF .</w:t>
      </w:r>
    </w:p>
    <w:p>
      <w:r>
        <w:t>Déposé au surplus dans le délai (cf. art. 100 al. 1 LTF ) et la forme (cf. art. 42 LTF ) prévus par la loi, le recours est en principe recevable.</w:t>
      </w:r>
    </w:p>
    <w:p>
      <w:r>
        <w:rPr>
          <w:b/>
        </w:rPr>
        <w:t>E. 2.1</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w:t>
      </w:r>
    </w:p>
    <w:p>
      <w:r>
        <w:t>L'ALCP ne réglementant pas le retrait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t>Aux termes de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 ATF 135 II 377 consid. 4.2 p. 380 s.) - ou a fait l'objet d'une mesure pénale prévue aux art. 64 ou 61 CP (art. 62 let. b LEtr).</w:t>
      </w:r>
    </w:p>
    <w:p>
      <w:r>
        <w:rPr>
          <w:b/>
        </w:rPr>
        <w:t>E. 2.2</w:t>
      </w:r>
    </w:p>
    <w:p>
      <w:r>
        <w:t>Comme l'ensemble des droits octroyés par l'ALCP, le droit de demeurer en Suisse pour y exercer une activité lucrative ne peut être limité que par des mesures d'ordre ou de sécurité publics, au sens de l' art. 5 par. 1 annexe I ALCP ,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 art. 16 al. 2 ALCP ; au sujet de la prise en considération des arrêts de la Cour de justice postérieurs à cette date, cf. ATF 130 II 1 consid. 3.6 p. 9 ss, 113 consid. 5.2 p. 119 s. et les références citées).</w:t>
      </w:r>
    </w:p>
    <w:p>
      <w:r>
        <w:t>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p. 20; 130 II 493 consid. 3.3 p. 499 s. et les références).</w:t>
      </w:r>
    </w:p>
    <w:p>
      <w:r>
        <w:t>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n'est exclu ni par l'ALCP, ni par la CEDH ( ATF 130 II 176 consid. 4.4 p. 189 s. et les références).</w:t>
      </w:r>
    </w:p>
    <w:p>
      <w:r>
        <w:t>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 2A.308/2004 du 4 octobre 2004 consid. 3.3 et les références).</w:t>
      </w:r>
    </w:p>
    <w:p>
      <w:r>
        <w:rPr>
          <w:b/>
        </w:rPr>
        <w:t>E. 3</w:t>
      </w:r>
    </w:p>
    <w:p>
      <w:r>
        <w:t>Sous l'angle de l'art. 63 al. 2 LEtr, l'intimé fait valoir que s'il a été condamné en 1998 à une peine privative de liberté de longue durée, tel n'a plus été le cas par la suite. Les autorités de police des étrangers étaient au courant de cette condamnation et ont renoncé à révoquer son autorisation d'établissement. L'intimé soutient que, dans ces conditions, il est contraire au principe de la bonne foi de révoquer maintenant ladite autorisation sur la base des faits ayant donné lieu à la condamnation de 1998.</w:t>
      </w:r>
    </w:p>
    <w:p>
      <w:r>
        <w:t>Cette argumentation tombe à faux: les autorités de police des étrangers n'ont à aucun moment donné à l'intimé des assurances quant au maintien de son autorisation d'établissement, dont celui-ci pourrait se prévaloir au titre de la protection de la bonne foi. En outre, les faits survenus entre 2002 et 2005 (consommation de pornographie à caractère pédophile) ont du point de vue du maintien de ladite autorisation une portée qui ne saurait être sous-estimée, surtout si on les met en relation avec les infractions très graves commises entre le printemps 1996 et le début mai 1997. Si ces faits plus récents n'ont pas été punis d'une peine privative de liberté de longue durée au sens de l'art. 62 let. b LEtr et ne réalisent donc pas l'un des motifs de l'art. 63 al. 2 LEtr, ils doivent être pris en compte sous l'angle de l'art. 63 al. 1 let. b LEtr (cf. ATF 137 II 297 consid. 3.3), dont l'énoncé de fait légal constitue l'autre motif de révocation. Envisagés avec les très graves infractions antérieures, ils sont de nature à amener à la conclusion que l'intimé a attenté de manière très grave à l'ordre public ou le met en danger, de sorte qu'il tombe également sous le coup de l'autre motif de révocation de l'autorisation en cause.</w:t>
      </w:r>
    </w:p>
    <w:p>
      <w:r>
        <w:rPr>
          <w:b/>
        </w:rPr>
        <w:t>E. 4</w:t>
      </w:r>
    </w:p>
    <w:p>
      <w:r>
        <w:t>Le litige porte ensuite sur la question de savoir si la révocation se justifie sous l'angle des conditions dont l'ALCP fait dépendre la limitation des droits qu'il confère, ainsi que du principe de proportionnalité.</w:t>
      </w:r>
    </w:p>
    <w:p>
      <w:r>
        <w:rPr>
          <w:b/>
        </w:rPr>
        <w:t>E. 4.1</w:t>
      </w:r>
    </w:p>
    <w:p>
      <w:r>
        <w:t>Selon l'autorité précédente, la menace actuelle pour l'ordre et la sécurité publics que représente l'intimé ne doit certes pas être minimisée, compte tenu de la gravité et de la répétition des actes commis, de l'importance des biens mis en péril, soit l'intégrité sexuelle des enfants, ainsi que d'un risque de récidive subsistant. Au terme d'une pesée d'intérêts très soigneuse, le Tribunal cantonal a toutefois estimé que, compte tenu de l'ensemble des circonstances, notamment de l'évolution accomplie par l'intimé au fil de sa thérapie, de la réduction significative du danger de récidive, du temps écoulé depuis les infractions et des graves conséquences qu'entraînerait pour lui la révocation de son titre de séjour, cette menace ne revêt - tout juste - plus un degré suffisant propre à justifier un renvoi, au regard du principe de la proportionnalité.</w:t>
      </w:r>
    </w:p>
    <w:p>
      <w:r>
        <w:rPr>
          <w:b/>
        </w:rPr>
        <w:t>E. 4.2</w:t>
      </w:r>
    </w:p>
    <w:p>
      <w:r>
        <w:t>L'intimé a été condamné trois fois pour des infractions à l'intégrité sexuelle, soit à un bien juridique particulièrement important (cf. ATF 137 II 297 consid. 3.3), raison pour laquelle la jurisprudence se montre spécialement rigoureuse en ce domaine (cf. consid. 2.2 ci-dessus). Qui plus est, l'intimé a attenté à l'intégrité sexuelle d'enfants, en s'en prenant à la fois à des victimes extérieures au cercle des proches (actes commis entre octobre 1992 et août 1993) et à ses propres fille, belle-fille et filleule (actes commis entre le printemps 1996 et début mai 1997). Compte tenu de la gravité de ces agissements, il y a lieu d'être spécialement rigoureux dans l'évaluation du risque de récidive.</w:t>
      </w:r>
    </w:p>
    <w:p>
      <w:r>
        <w:t>A cet égard, le traitement psychiatrique dont l'intimé a commencé de bénéficier lors de sa détention préventive faisant suite à son arrestation le 5 mai 1997 dans le cadre de la deuxième affaire pénale ne l'a pas empêché de visionner et de télécharger, à partir du 31 janvier 2002 - soit environ une année après sa libération conditionnelle prononcée le 24 janvier 2001 - et jusqu'au 17 août 2005 (date à laquelle il a à nouveau été arrêté), un grand nombre d'images comportant notamment des actes d'ordre sexuel avec des enfants. Ce faisant, il a passé outre les recommandations réitérées de ses thérapeutes de s'abstenir de toute connexion à Internet et a caché à ceux-ci sa consommation de pornographie à caractère pédophile. Ce comportement a duré plusieurs années et n'a pris fin qu'au moment où l'intimé a été interpellé dans le cadre de l'opération policière "Heidi", menée afin d'identifier les membres d'une communauté virtuelle sur Internet, dont le but était l'échange de fichiers pédophiles. Dans sa détermination sur le recours, l'intimé tente de minimiser la gravité de ces actes, en évoquant la limite ténue entre le fait de visionner de telles images (non punissable) et celui de les télécharger (punissable). Or, c'est moins le caractère pénalement répréhensible de son comportement qui est significatif en l'espèce que le fait qu'il a passé outre les recommandations de ses thérapeutes, en prenant le risque de compromettre l'efficacité du traitement.</w:t>
      </w:r>
    </w:p>
    <w:p>
      <w:r>
        <w:t>A la fin de la même période, l'intimé a en outre tardé à avertir ses thérapeutes et les services concernés de l'administration cantonale de l'arrivée clandestine en Suisse (en novembre 2004) de sa belle-fille K.________, puis du fait que celle-ci a ensuite (dès le 20 décembre 2004) vécu dans son foyer. Ce n'est en effet que plusieurs mois après qu'il en a informé ses thérapeutes (le 23 mars 2005), puis le Service de protection de la jeunesse (le 9 avril 2005) et le Service de la population (le 6 juin 2005). Il savait pourtant pertinemment que c'était en raison du risque de récidive de sa part que la demande de regroupement familial en faveur de sa belle-fille avait été rejetée.</w:t>
      </w:r>
    </w:p>
    <w:p>
      <w:r>
        <w:t>A plusieurs reprises, l'intimé a eu une attitude de déni consistant à rendre l'extérieur (son épouse qualifiée de "déprimée", la législation qui serait "floue", les autorités, etc.) responsable de ses agissements illégaux (cf. expertise du 22 mai 2007). En outre, il peine selon le Prof. H.________ à reconnaître sa culpabilité à l'égard de sa fille D.________ (expertise du 17 mars 2010).</w:t>
      </w:r>
    </w:p>
    <w:p>
      <w:r>
        <w:t>On doit en revanche mettre au crédit de l'intimé qu'il n'a plus fait l'objet de poursuites pénales depuis qu'il a été remis en liberté au terme de sa détention préventive en septembre 2005, et ce alors que, selon l'expertise judiciaire du 3 janvier 2011, les situations génératrices de stress (liées notamment à son divorce) étaient potentiellement de nature à l'amener à récidiver. Ce constat positif doit toutefois être quelque peu nuancé dans la mesure où l'intimé a vécu durant cette période sous la menace de la révocation de sa libération conditionnelle - mesure à laquelle la Cour de cassation pénale a renoncé le 8 août 2006, en prolongeant en revanche le délai d'épreuve de deux et demi - et dans l'attente du jugement des actes de pornographie (jugée d'abord par le Tribunal correctionnel de l'arrondissement de Lausanne le 12 juin 2008, l'affaire a été soumise deux fois successivement à la Cour de cassation pénale du Tribunal cantonal et au Tribunal fédéral, la procédure n'étant close que par arrêt de ce dernier du 16 mars 2010). En outre, à partir du 9 juin 2009, l'intimé savait qu'il risquait de voir son autorisation d'établissement révoquée.</w:t>
      </w:r>
    </w:p>
    <w:p>
      <w:r>
        <w:t>L'expertise du 3 janvier 2011 relève par ailleurs que l'intimé maîtrise mieux les moments de tension interne ainsi que ses impulsions. Les experts concluent que le risque de récidive subsiste et continuera d'exister, même s'il est "beaucoup moins important qu'auparavant", compte tenu de l'évolution de l'intéressé. Comme facteurs de protection, ils évoquent le travail psychothérapique assuré par un spécialiste qualifié (le Prof.H.________, qui a pris en charge l'intimé dès 1997), l'intervention du Service de protection de la jeunesse, ainsi que l'effet stabilisateur de sa relation avec son fils L.________, d'une part, et de son activité professionnelle dans son commerce, d'autre part.</w:t>
      </w:r>
    </w:p>
    <w:p>
      <w:r>
        <w:t>Au vu de ce qui précède, la Cour de céans estime que le risque de récidive demeure trop élevé pour que l'on puisse s'en accommoder, compte tenu de la gravité des infractions commises et de l'importance des biens juridiques en jeu. Ce risque représente une menace actuelle pour l'ordre public, qui justifie de limiter les droits conférés par l'ALCP, conformément à l' art. 5 par. 1 annexe I ALCP .</w:t>
      </w:r>
    </w:p>
    <w:p>
      <w:r>
        <w:rPr>
          <w:b/>
        </w:rPr>
        <w:t>E. 4.3</w:t>
      </w:r>
    </w:p>
    <w:p>
      <w:r>
        <w:t>La révocation de l'autorisation d'établissement de l'intimé apparaît justifiée également sous l'angle du principe de proportionnalité. En effet, si la durée du séjour en Suisse de l'intimé est particulièrement longue, elle est contre-balancée par des antécédents pénaux d'une gravité particulière. L'intimé s'investit certes beaucoup dans sa relation avec son fils L.________, né en 2005, qui vit toutefois avec sa mère. L'intimé ne dispose que d'un droit de visite, qu'il pourrait exercer depuis la France voisine. Il pourrait en outre exercer son métier dans ce pays et y bénéficier d'une prise en charge thérapeutique du même niveau qu'en Suisse. Dans ces conditions, l'intérêt public à son éloignement l'emporte sur son intérêt privé à pouvoir demeurer en Suisse.</w:t>
      </w:r>
    </w:p>
    <w:p>
      <w:r>
        <w:rPr>
          <w:b/>
        </w:rPr>
        <w:t>E. 5</w:t>
      </w:r>
    </w:p>
    <w:p>
      <w:r>
        <w:t>Vu ce qui précède, le recours doit être admis, l'arrêt attaqué annulé et la décision du chef du Département de l'intérieur du 29 juillet 2009 rétablie.</w:t>
      </w:r>
    </w:p>
    <w:p>
      <w:r>
        <w:t>S'agissant de la requête d'assistance judiciaire, on peut admettre, sur la base du dossier et des pièces produites, que la situation financière de l'intimé ne lui permet pas d'assumer les frais de la présente procédure. Par ailleurs, ses conclusions n'étaient pas dépourvues de chances de succès. Il convient donc d'agréer sa demande, soit de renoncer à percevoir un émolument judiciaire, de désigner Me Kathrin Gruber comme avocate d'office et d'allouer à celle-ci une indemnité à titre d'honoraires, qui sera supportée par la caisse du Tribunal fédéral (cf.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