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2C_470/2021 vom 22. November 2021</w:t>
      </w:r>
    </w:p>
    <w:p>
      <w:r>
        <w:t>Bundesgericht, 2021-11-22, DE</w:t>
      </w:r>
    </w:p>
    <w:p>
      <w:r>
        <w:rPr>
          <w:b/>
        </w:rPr>
        <w:t xml:space="preserve">Quelle: </w:t>
      </w:r>
      <w:r>
        <w:t>https://mcp.opencaselaw.ch/entscheid/bger_2C_470_2021</w:t>
      </w:r>
    </w:p>
    <w:p>
      <w:r>
        <w:t>FR: TF 2C_470/2021 du 22 novembre 2021</w:t>
      </w:r>
    </w:p>
    <w:p>
      <w:r>
        <w:t>IT: TF 2C_470/2021 del 22 novembre 2021</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Eine Ausnahme gemäss Art. 83 BGG liegt nicht vor. Der Beschwerdeführer, der am vorinstanzlichen Verfahren teilgenommen hat und mit seinen Anträgen unterlegen ist, hat ein berechtigtes Interesse an der Überprüfung des angefochtenen Urteils durch das Bundesgericht ( Art. 89 Abs. 1 BGG ). Auf die Beschwerde ist daher - vorbehältlich E. 1.2 hiernach - einzutreten.</w:t>
      </w:r>
    </w:p>
    <w:p>
      <w:r>
        <w:rPr>
          <w:b/>
        </w:rPr>
        <w:t>E. 1.2</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(Urteile 2C_603/2018 vom 3. Dezember 2018 E. 1.2; 2C_694/2017 vom 13. Februar 2018 E. 1.2). Hat allerdings die Vorinstanz in einer Eventualbegründung erwogen, selbst wenn auf das Rechtsmittel einzutreten (gewesen) wäre, wäre es in materieller Hinsicht abzuweisen, beurteilt das Bundesgericht auch die materielle Rechtslage (vgl. BGE 139 II 233 E. 3.2). Eine solche Konstellation liegt hier nicht vor. Soweit der Beschwerdeführer eventualiter beantragt, es sei festzustellen, dass die Vollstreckungsverfügung betreffend das Tierhalteverbot gegen ihn rechtswidrig sei, ist auf die Beschwerde nicht einzutreten.</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143 II 283 E. 1.2.2 ; 142 I 99 E. 1.7.2). In der Beschwerde ist klar und detailliert anhand der Erwägungen des angefochtenen Entscheids darzulegen, inwiefern verfassungsmässige Individualrechte verletzt worden sein sollen ( BGE 142 II 369 E. 2.1). Auf bloss allgemein gehaltene, appellatorische Kritik am vorinstanzlichen Entscheid geht das Bundesgericht nicht ein ( BGE 141 IV 369 E. 6.3; 133 II 249 E. 1.4.2).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Der Beschwerdeführer bringt vor, das Obergericht habe zu Unrecht das Vorliegen eines Rechtsschutzinteresses verneint. Er wirft der Vorinstanz eine willkürliche Anwendung des massgebenden kantonalen Rechts ( Art. 9 BV ) sowie eine Verletzung der Rechtsweggarantie ( Art. 29a BV ) vor. Zur Begründung führt er zunächst aus, das Veterinäramt wolle ihm gestützt auf die Verfügung vom 14. August 2017 und die angefochtenen Rekursentscheide des Departements die Kosten für den Vollzug des Tierhalteverbots auferlegen. Als Eigentümer von beschlagnahmten Tieren und Kostenpflichtiger sei er daher von den angefochtenen Rekursentscheiden berührt, handle im eigenen Interesse und ziehe aus der Behandlung seiner Beschwerde einen praktischen Nutzen. Sodann ist er der Auffassung, dass vorliegend vom Erfordernis eines aktuellen und praktischen Rechtsschutzinteresses abzusehen sei, da es sich um grundsätzliche Fragen handle und eine rechtzeitige Kontrolle solcher Beschlagnahmeverfügungen praktisch nie möglich sei, weil das Veterinäramt in der Regel die aufschiebende Wirkung entziehe.</w:t>
      </w:r>
    </w:p>
    <w:p>
      <w:r>
        <w:rPr>
          <w:b/>
        </w:rPr>
        <w:t>E. 3.2</w:t>
      </w:r>
    </w:p>
    <w:p>
      <w:r>
        <w:t>Gemäss Art. 29a BV hat jede Person bei Rechtsstreitigkeiten Anspruch auf eine Beurteilung durch eine richterliche Behörde, wobei Bund und Kantone durch Gesetz die richterliche Beurteilung in Ausnahmefällen ausschliessen können. Die Rechtsweggarantie gibt keinen Anspruch darauf, dass jedermann jedes staatliche Handeln ungeachtet prozessualer Vorschriften auf seine Rechtmässigkeit hin überprüfen lassen kann. Der von Art. 29a BV garantierte Rechtsweg besteht nur im Rahmen der jeweils geltenden Verfahrensordnung und verbietet es nicht, das Eintreten auf ein Gesuch, ein Rechtsmittel oder eine Klage von den üblichen Sachurteilsvoraussetzungen abhängig zu machen. Insbesondere ist es zulässig, einen Entscheid an das Vorliegen eines praktischen und aktuellen Rechtsschutzinteresses zu knüpfen (vgl. BGE 139 II 185 E. 12.4; 137 II 409 E. 4.2 ; 136 I 323 E. 4.3; Urteile 2C_526/2020 vom 20. Oktober 2020 E. 3.6.1; 2C_651/2019 und 2C_700/2019 vom 21. Januar 2020 E. 5.1.1).</w:t>
      </w:r>
    </w:p>
    <w:p>
      <w:r>
        <w:t>Ein solches Interesse verlangt unter anderem Art. 89 Abs. 1 lit. c BGG denn auch ausdrücklich. Es ist unter dem Gesichtspunkt des Bundesrechts ohne Weiteres zulässig, dieses Erfordernis bei der Legitimation auch für die kantonalen Rechtsmittel zu verlangen (vgl. Art. 111 BGG ; vgl. auch Urteile 2C_526/2020 vom 20. Oktober 2020 E. 3.3 und 3.6.2; 2C_392/2020 vom 1. Juli 2020 E. 2.3.1).</w:t>
      </w:r>
    </w:p>
    <w:p>
      <w:r>
        <w:rPr>
          <w:b/>
        </w:rPr>
        <w:t>E. 3.3</w:t>
      </w:r>
    </w:p>
    <w:p>
      <w:r>
        <w:t>Nach der bundesgerichtlichen Rechtsprechung ist ein Interesse nur dann schutzwürdig, wenn der Beschwerdeführer noch im Zeitpunkt der Urteilsfällung ein aktuelles praktisches Interesse an der Aufhebung oder Änderung des angefochtenen Entscheides hat (vgl. BGE 140 III 92 E. 1.1 ; 136 I 274 E. 1.3, mit Hinweisen). Fehlt ein solches Interesse bereits bei Erhebung der Beschwerde, führt das zu einem Nichteintreten. Fällt das schutzwürdige Interesse an einer Beschwerde im Laufe des Verfahrens dahin, so wird die Sache als gegenstandslos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135 I 79 E. 1.1; 131 II 670 E. 1.2; 128 II 34 E. 1b; Urteil 2C_599/2010 vom 11. März 2011 E. 3.1).</w:t>
      </w:r>
    </w:p>
    <w:p>
      <w:r>
        <w:rPr>
          <w:b/>
        </w:rPr>
        <w:t>E. 3.4</w:t>
      </w:r>
    </w:p>
    <w:p>
      <w:r>
        <w:t>Dem angefochtenen Urteil kann entnommen werden, dass das kantonale Recht dieselben Anforderungen an die Beschwerdelegitimation stellt wie Art. 89 Abs. 1 lit. c BGG . So ist gemäss Art. 32 Abs. 1 i.V.m. Art. 59 Abs. 1 des Gesetzes vom 9. September 2002 über die Verwaltungsrechtspflege des Kantons Appenzell Ausserrhoden (VRPG/AR; bGS 143.1) zur Beschwerde berechtigt, wer ein schutzwürdiges Interesse an der Aufhebung oder Änderung der angefochtenen Verfügung hat oder durch Gesetz dazu ermächtigt ist. Gemäss den Ausführungen der Vorinstanz muss dieses Interesse aktuell und praktisch sein. Dies sei dann der Fall, wenn der Beschwerdeführer aus dem beantragten Verfahrensausgang einen praktischen Nutzen ziehe, sodass seine tatsächliche oder rechtliche Situation beeinflusst werden könne. Auf das Erfordernis des aktuellen Rechtsschutzinteresses könne ausnahmsweise unter den von der bundesgerichtlichen Rechtsprechung entwickelten Voraussetzungen (vgl. E. 3.3 hiervor) verzichtet werden (vgl. E. 2 des angefochtenen Urteils).</w:t>
      </w:r>
    </w:p>
    <w:p>
      <w:r>
        <w:rPr>
          <w:b/>
        </w:rPr>
        <w:t>E. 4</w:t>
      </w:r>
    </w:p>
    <w:p>
      <w:r>
        <w:t>Streitgegenstand des vorinstanzlichen Verfahrens war die Vollstreckungsverfügung des Veterinäramtes vom 14. August 2017. Unbestritten ist, dass die Ersatzvornahme, welche sich auf diese Vollstreckungsverfügung stützte, bereits am 1. September 2017 durchgeführt wurde. Dem angefochtenen Urteil kann zudem entnommen werden, dass am 1. September 2017 alle Tiere, die vom Tierhalteverbot betroffen waren, in Sicherheit gebracht worden waren (vgl. vorne, Sachverhalt A.f), womit die angefochtene Vollstreckungsverfügung gegenstandslos wurde. Zu prüfen ist deshalb, ob die Vorinstanz das Vorliegen eines aktuellen und praktischen Rechtsschutzinteresses zu Recht verneint hat.</w:t>
      </w:r>
    </w:p>
    <w:p>
      <w:r>
        <w:rPr>
          <w:b/>
        </w:rPr>
        <w:t>E. 4.1</w:t>
      </w:r>
    </w:p>
    <w:p>
      <w:r>
        <w:t>Der Beschwerdeführer begründet sein Interesse an der Behandlung seiner Beschwerde mit dem Umstand, dass die Verfügung vom 14. August 2017 die rechtliche Grundlage für die widerrechtliche Beschlagnahme seiner Tiere bilde und er mit Kosten für den Vollzug des Tierhalteverbots zu rechnen habe.</w:t>
      </w:r>
    </w:p>
    <w:p>
      <w:r>
        <w:t>Aus dem angefochtenen Urteil und den Akten ergibt sich indessen, dass bei der Durchführung der Ersatzvornahme am 1. September 2017 ausschliesslich Hühner beschlagnahmt wurden, die sich nach den Angaben des Beschwerdeführers und dessen Tochter im Eigentum der Tochter befanden. So ist auch die Zwischenverfügung des Veterinäramtes vom 11. September 2017, mit welcher die am 1. September 2017 superprovisorisch erfolgte Beschlagnahme bestätigt wurde, an die Tochter des Beschwerdeführers adressiert. An sie richtet sich auch der aktenkundige Verfügungsentwurf des Veterinäramtes vom 29. September 2017 betreffend die Kostenverrechnung für die Vollstreckung des Tierhalteverbots. Folglich war der Beschwerdeführer weder als Eigentümer der beschlagnahmten Tiere noch als Kostenpflichtiger von der auf Grundlage der hier strittigen Vollstreckungsverfügung erfolgten Ersatzvornahme betroffen. Somit kann er aus dem Umstand, dass die Beschlagnahme der Tiere Kosten nach sich ziehen könnte, keinen praktischen Nutzen an der Behandlung seiner Beschwerde ziehen. Im Übrigen besteht kein Anlass, an der vorinstanzlichen Auffassung zu zweifeln, wonach für die Kostenauferlegung separat anfechtbare Verfügungen ergehen werden (vgl. E. 4 des angefochtenen Urteils).</w:t>
      </w:r>
    </w:p>
    <w:p>
      <w:r>
        <w:rPr>
          <w:b/>
        </w:rPr>
        <w:t>E. 4.2</w:t>
      </w:r>
    </w:p>
    <w:p>
      <w:r>
        <w:t>Zu prüfen ist schliesslich, ob die Vorinstanz ausnahmsweise auf das Erfordernis des aktuellen und praktischen Rechtsschutzinteresses hätte verzichten müssen.</w:t>
      </w:r>
    </w:p>
    <w:p>
      <w:r>
        <w:rPr>
          <w:b/>
        </w:rPr>
        <w:t>E. 4.2.1</w:t>
      </w:r>
    </w:p>
    <w:p>
      <w:r>
        <w:t>Der Beschwerdeführer behauptet, es handle sich um Fragen von grundsätzlicher Bedeutung, deren Beantwortung aufgrund des Entzugs der aufschiebenden Wirkung praktisch nie rechtzeitig möglich sei. Zum einen stelle sich die Frage, ob und unter welchen Voraussetzungen ein Tierhalteverbot nicht nur die Person des Tierhalters, sondern auch Familienmitglieder und sogar Dritte betreffe bzw. für einen ganzen Landwirtschaftsbetrieb gelte, wenn der Adressat des Tierhalteverbots weiterhin auf dem Betrieb wohne. Zum anderen frage es sich, ob und unter welchen Voraussetzungen sich Dritte ein Tierhalteverbot entgegenhalten lassen müssten, dessen Adressaten sie nicht seien.</w:t>
      </w:r>
    </w:p>
    <w:p>
      <w:r>
        <w:rPr>
          <w:b/>
        </w:rPr>
        <w:t>E. 4.2.2</w:t>
      </w:r>
    </w:p>
    <w:p>
      <w:r>
        <w:t>Eine Rechtsfrage von grundsätzlicher Bedeutung stellt sich, wenn ein allgemeines Interesse besteht, eine umstrittene Frage im Sinne der einheitlichen Anwendung und Auslegung des Bundesrechts höchstrichterlich zu klären, und damit Rechtssicherheit herzustellen ( BGE 138 I 232 E. 2.3; 135 III 397 E. 1.2; Urteil 2C_630/2014 vom 24. Oktober 2014 E. 1.2.2).</w:t>
      </w:r>
    </w:p>
    <w:p>
      <w:r>
        <w:t>Mit seinen Ausführungen vermag der Beschwerdeführer nicht darzutun, inwiefern diese Voraussetzungen hier erfüllt sein sollen. Wie das Obergericht zu Recht ausführt, hat sich das Bundesgericht mit der Tragweite und den Adressaten von Tierhalteverboten in mehreren Urteilen bereits befasst (vgl. die von der Vorinstanz zitierten Urteile 2C_196/2013 vom 27. Oktober 2013 und 2C_635/2011 vom 11. März 2012; E. 5 des angefochtenen Urteils). Zudem hat das Bundesgericht in seinem den Beschwerdeführer betreffenden Urteil in Bezug auf den Begriff des Tierhalters festgehalten, dass das Tierschutzgesetz selbst zwar keine spezifische Umschreibung enthält, wer als Tierhalter zu gelten hat, jedoch zwischen Betreuer und Tierhalter unterscheidet (Art. 6 Abs. 1 Tierschutzgesetz vom 16. Dezember 2005 [TschG; SR 455]). Tierhalter im Sinne von Art. 56 OR ist, wer die tatsächliche Herrschaft über das Tier ausübt bzw. über dieses verfügen kann, auch wenn er die Beaufsichtigung des Tieres zeitweilig einer Hilfsperson anvertraut hat. Dabei ist das dauerhafte wirtschaftliche Interesse oder der Nutzen (auch ideeller Art) von entscheidender Bedeutung, um die Tierhalterin von der Hilfsperson abzugrenzen (vgl. Urteil 2C_958/2014 vom 31. März 2015 E. 4.4). Es ist somit nicht ersichtlich, inwiefern ein öffentliches Interesse an der Klärung der vom Beschwerdeführer gestellten Fragen besteht bzw. deren Beantwortung für die Praxis wegleitend sein kann.</w:t>
      </w:r>
    </w:p>
    <w:p>
      <w:r>
        <w:t>Folglich hat die Vorinstanz das Vorliegen einer Frage von grundsätzlicher Bedeutung zu Recht verneint.</w:t>
      </w:r>
    </w:p>
    <w:p>
      <w:r>
        <w:rPr>
          <w:b/>
        </w:rPr>
        <w:t>E. 4.3</w:t>
      </w:r>
    </w:p>
    <w:p>
      <w:r>
        <w:t>Sollte der Beschwerdeführer im Übrigen der Auffassung sein, das gegen ihn rechtskräftig verfügte Tierhalteverbot sei nicht rechtmässig gewesen und daraus ein Rechtsschutzinteresse an der Behandlung seiner Beschwerde durch die Vorinstanz ableiten wollen, ist Folgendes festzuhalten: Eine Verfügung, mit der ein rechtskräftiger Entscheid vollzogen wird, kann nur soweit angefochten werden, als die gerügte Rechtswidrigkeit in der Vollstreckungsverfügung selbst begründet ist. Grundsätzlich ausgeschlossen ist die Rüge, die frühere (materielle) Verfügung sei rechtswidrig (vgl. Urteil 2C_196/2013 vom 27. Oktober 2013 E. 5.2). Folglich könnte er aus einer allfälligen Rechtswidrigkeit des mit Urteil 2C_958/2014 vom 31. März 2015 bestätigten Tierhalteverbots kein aktuelles und praktisches Interesse an der Behandlung seiner Beschwerde ableiten.</w:t>
      </w:r>
    </w:p>
    <w:p>
      <w:r>
        <w:rPr>
          <w:b/>
        </w:rPr>
        <w:t>E. 4.4</w:t>
      </w:r>
    </w:p>
    <w:p>
      <w:r>
        <w:t>Schliesslich bilden die Eigentumsverhältnisse an den am 1. September 2017 beschlagnahmten bzw. vom Beschwerdeführer weggebrachten Tiere sowie die Frage, ob der Beschwerdeführer das gegen ihn angeordnete Tierhalteverbot umgesetzt habe, nicht Gegenstand des vorliegenden bundesgerichtlichen Verfahrens (vgl. E. 1.2 hiervor), sodass auf die diesbezüglichen Ausführungen in der Beschwerde nicht weiter einzugehen ist.</w:t>
      </w:r>
    </w:p>
    <w:p>
      <w:r>
        <w:rPr>
          <w:b/>
        </w:rPr>
        <w:t>E. 5.1</w:t>
      </w:r>
    </w:p>
    <w:p>
      <w:r>
        <w:t>Im Ergebnis ist festzuhalten, dass die Vorinstanz zu Recht das Vorliegen eines aktuellen und praktischen Rechtsschutzinteresses des Beschwerdeführers verneint hat. Somit waren im vorinstanzlichen Verfahren nicht alle Sachurteilsvoraussetzungen erfüllt und der Beschwerdeführer kann sich nicht mit Erfolg auf die Rechtsweggarantie ( Art. 29a BV ) berufen (vgl. E. 3.2 hiervor). Die Beschwerde erweist sich als unbegründet und ist abzuweisen, soweit darauf einzutreten ist.</w:t>
      </w:r>
    </w:p>
    <w:p>
      <w:r>
        <w:rPr>
          <w:b/>
        </w:rPr>
        <w:t>E. 5.2</w:t>
      </w:r>
    </w:p>
    <w:p>
      <w:r>
        <w:t>Bei diesem Ausgang des Verfahrens wird der unterliegende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