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470/2015 vom 15. Februar 2016</w:t>
      </w:r>
    </w:p>
    <w:p>
      <w:r>
        <w:t>Bundesgericht, 2016-02-15, FR</w:t>
      </w:r>
    </w:p>
    <w:p>
      <w:r>
        <w:rPr>
          <w:b/>
        </w:rPr>
        <w:t xml:space="preserve">Quelle: </w:t>
      </w:r>
      <w:r>
        <w:t>https://mcp.opencaselaw.ch/entscheid/bger_2C_470_2015</w:t>
      </w:r>
    </w:p>
    <w:p>
      <w:r>
        <w:t>FR: TF 2C 470/2015 du 15 février 2016</w:t>
      </w:r>
    </w:p>
    <w:p>
      <w:r>
        <w:t>IT: TF 2C 470/2015 del 15 febbraio 2016</w:t>
      </w:r>
    </w:p>
    <w:p>
      <w:pPr>
        <w:pStyle w:val="Heading2"/>
      </w:pPr>
      <w:r>
        <w:t>Regeste</w:t>
      </w:r>
    </w:p>
    <w:p>
      <w:r>
        <w:t>Impôt fédéral direct, cantonal et communal 2001-B, 2002, 2003, 2005 et 2006 | Finances publiques &amp; droit fiscal</w:t>
      </w:r>
    </w:p>
    <w:p>
      <w:pPr>
        <w:pStyle w:val="Heading2"/>
      </w:pPr>
      <w:r>
        <w:t>Erwägungen</w:t>
      </w:r>
    </w:p>
    <w:p>
      <w:r>
        <w:rPr>
          <w:b/>
        </w:rPr>
        <w:t>E. 1</w:t>
      </w:r>
    </w:p>
    <w:p>
      <w:r>
        <w:t>Le Tribunal cantonal a rendu un seul arrêt valant pour les impôts cantonal et communal, d'une part, et pour l'impôt fédéral direct, d'autre part, ce qui est admissible (cf. ATF 135 II 260 consid. 1.3.1 p. 262 s.). Dans ces circonstances, on ne peut reprocher à la recourante d'avoir pris des conclusions valant pour les deux catégories d'impôts dans leur recours au Tribunal fédéral. Par souci d'unification par rapport à d'autres cantons dans lesquels deux décisions sont rendues, la Cour de céans a ouvert deux dossiers, l'un concernant l'impôt fédéral direct (2C_471/2015) et l'autre l'impôt cantonal et communal (2C_470/2015). Comme l'état de fait est identique et que les questions juridiques se recoupent, les deux causes seront néanmoins jointes et il sera statué dans un seul arrêt (cf. art. 71 LTF et 24 PCF [RS 273]).</w:t>
      </w:r>
    </w:p>
    <w:p>
      <w:r>
        <w:rPr>
          <w:b/>
        </w:rPr>
        <w:t>E. 2</w:t>
      </w:r>
    </w:p>
    <w:p>
      <w:r>
        <w:t>D'après l' art. 90 LTF , le recours est recevable contre les décisions qui mettent fin à la procédure (décisions finales). Des arrêts de renvoi constituent en principe des décisions incidentes contre lesquelles le recours au Tribunal fédéral n'est ouvert qu'aux conditions des art. 92 et 93 LTF , dont la réalisation doit être alléguée et démontrée par le recourant, à moins qu'elle ne fasse d'emblée aucun doute (cf. ATF 133 III 629 consid. 2.3.1 p. 632). Un tel arrêt est néanmoins considéré comme final si l'autorité à laquelle l'affaire est renvoyée n'a aucune marge de manoeuvre, notamment lorsqu'il ne lui reste plus qu'à calculer le montant de l'impôt, en appliquant les règles définies dans la décision de renvoi (cf. ATF 138 I 143 consid. 1.2 p. 148; arrêt 2C_180/2013 du 5 novembre 2013 consid. 2.2.1, in RF 69/2014 237). En l'espèce, le renvoi opéré par la Cour de justice ne laisse aucune latitude à l'Administration cantonale, qui est simplement invitée à effectuer les modifications décidées par elle et à émettre de nouvelles décisions qui en tiennent compte. L'Administration cantonale ne dispose ainsi d'aucune marge de manoeuvre. L'arrêt attaqué est par conséquent une décision finale, de sorte que le recours est recevable sous cet angle.</w:t>
      </w:r>
    </w:p>
    <w:p>
      <w:r>
        <w:rPr>
          <w:b/>
        </w:rPr>
        <w:t>E. 3</w:t>
      </w:r>
    </w:p>
    <w:p>
      <w:r>
        <w:t>Invoquant l' art. 97 al. 1 LTF , dont elle cite la deuxième condition, la recourante demande au Tribunal fédéral de compléter les faits de la cause conformément à l' art. 105 al. 2 LTF en relation avec les points 37 et 45 de l'arrêt attaqué. Le Tribunal fédéral statue sur la base des faits établis par l'autorité précédente (cf. art. 105 al. 1 LTF ). Le recours ne peut critiquer les constatations de fait que si, première condition, les faits ont été établis de façon manifestement inexacte ou en violation du droit au sens de l' art. 95 LTF et si, deuxième condition, la correction du vice est susceptible d'influer sur le sort de la cause ( art. 97 al. 1 LTF ). La notion de " manifestement inexacte " correspond à celle d'arbitraire au sens de l' art. 9 Cst. (cf. ATF 137 III 268 consid. 1.2 p. 278). Si la partie recourante entend s'écarter des constatations de fait de l'autorité précédente, elle doit expliquer de manière circonstanciée en quoi les conditions d'une exception prévue par l' art. 97 al. 1 LTF seraient réalisées conformément aux exigences de motivation de l' art. 106 al. 2 LTF (cf. ATF 133 IV 286 consid. 6.2 p. 288). En particulier, elle doit exposer en quoi la correction du vice est susceptible d'influer sur le sort de la cause. En l'espèce, la recourante s'est bornée à citer la deuxième condition de l' art. 97 al. 1 LTF sans exposer en quoi elle serait, le cas échéant, réalisée. Le grief d'établissement inexact des faits est rejeté.</w:t>
      </w:r>
    </w:p>
    <w:p>
      <w:r>
        <w:rPr>
          <w:b/>
        </w:rPr>
        <w:t>E. 4</w:t>
      </w:r>
    </w:p>
    <w:p>
      <w:r>
        <w:t>Invoquant l'interdiction de l'arbitraire, la recourante se plaint de ce que l'instance précédente a déclaré irrecevables parce que tardives les conclusions qui n'avaient pas été énoncées dans le mémoire de recours du 26 mars 2014. Le Tribunal fédéral n'examine les moyens fondés sur la violation de droits fondamentaux ou de dispositions de droit cantonal que s'ils ont été invoqués et motivés de manière précise ( art. 106 al. 2 LTF ; principe d'allégation). L'acte de recours doit, à peine d'irrecevabilité, contenir un exposé succinct des droits constitutionnels ou des principes juridiques violés et préciser en quoi consiste la violation (cf. ATF 136 II 489 consid. 2.8 p. 494; 134 II 349 consid. 3 p. 351). En l'espèce, l'instance précédente a exposé les dispositions du droit cantonal de procédure ainsi que la jurisprudence relative à ces dispositions en matière de recevabilité des conclusions et d'objet du litige et a précisément exposé en quoi certaines conclusions étaient irrecevables. Bien qu'elle fasse allusion à l'interdiction de l'arbitraire et à l' art. 61 LPA /GE (mémoire de recours auprès du Tribunal fédéral, p. 4 ss ainsi que p. 15), la recourante se borne en réalité à substituer son opinion sur la recevabilité de ses conclusions à celle de l'instance précédente, en se fondant pour partie sur des faits corrigés irrecevables (cf. consid. 3 ci-dessus). Il s'ensuit que le grief de violation du droit cantonal de procédure est irrecevable pour défaut de motivation conforme à l' art. 106 al. 2 LTF et parce qu'il repose pour partie sur des faits irrecevables.</w:t>
      </w:r>
    </w:p>
    <w:p>
      <w:r>
        <w:rPr>
          <w:b/>
        </w:rPr>
        <w:t>E. 5.1</w:t>
      </w:r>
    </w:p>
    <w:p>
      <w:r>
        <w:t>Sur le fond, le litige porte sur le refus par l'instance précédente d'annuler onze reprises de montants, provenant selon la recourante de son concubin, quand bien même l'existence du concubinage a été reconnue, ainsi que des reprises portant sur des montants provenant, toujours selon cette dernière, de son ex-mari. Dans l'arrêt attaqué, l'instance précédente a constaté que tous ces montants figuraient sur les comptes bancaires de la recourante, mais que celle-ci n'avait toutefois pas été en mesure d'en démontrer précisément ni la provenance ni la cause, comme il lui incombait de le faire en application des règles sur le fardeau de la preuve. Dans ces circonstances, en reprochant à l'instance précédente d'ignorer l'existence du concubinage et du témoignage de son ex-mari qui expliqueraient en quoi les reprises sont erronées, la recourante se plaint en réalité de l'appréciation des preuves par l'instance précédente, ses allégations relatives à l'existence d'une société simple entre elle et son concubin ne trouvant pas d'appui dans les faits retenus par l'instance précédente.</w:t>
      </w:r>
    </w:p>
    <w:p>
      <w:r>
        <w:rPr>
          <w:b/>
        </w:rPr>
        <w:t>E. 5.2</w:t>
      </w:r>
    </w:p>
    <w:p>
      <w:r>
        <w:t>En matière d'appréciation des preuves et d'établissement des faits, il n'y a arbitraire que si le juge a manifestement méconnu le sens et la portée d'un moyen de preuve, si, sur la base des éléments recueillis, il a procédé à des déductions insoutenables, ou encore s'il a omis, sans raison sérieuse, de tenir compte d'un moyen important propre à modifier la décision attaquée ( ATF 137 I 58 consid. 4.1.2 p. 62). Sous cet angle, les griefs de la recourante (mémoire de recours, p. 14 ss), sont certes partiellement recevables, mais doivent être rejetés.</w:t>
      </w:r>
    </w:p>
    <w:p>
      <w:r>
        <w:rPr>
          <w:b/>
        </w:rPr>
        <w:t>E. 5.2.1</w:t>
      </w:r>
    </w:p>
    <w:p>
      <w:r>
        <w:t>Il ne suffit en effet pas d'alléguer que la recourante faisait ménage commun avec son concubin pour que toutes les sommes figurant sur ses comptes bancaires, qui n'ont pas été attribuées par cette dernière à des versements de son ex-mari, constituent ipso facto une participation aux frais du ménage commun de la part de son concubin, dès lors que c'est l'origine et la destination de ces versements qui ont précisément été considérées comme insuffisamment documentées par l'instance précédente. A cet égard, la recourante ne démontre pas que l'appréciation des preuves par l'instance précédente est insoutenable.</w:t>
      </w:r>
    </w:p>
    <w:p>
      <w:r>
        <w:rPr>
          <w:b/>
        </w:rPr>
        <w:t>E. 5.2.2</w:t>
      </w:r>
    </w:p>
    <w:p>
      <w:r>
        <w:t>Selon la recourante ensuite, en jugeant qu'il n'y avait pas de pièces probantes permettant de s'assurer de l'origine et de la destination des versements qu'elle a attribués à son ex-mari, l'instance précédente aurait écarté le témoignage de celui-ci de manière insoutenable. Elle soutient qu'il ne s'agissait nullement de remboursements effectués en exécution d'un contrat de mandat qui les liait; selon elle, cela ressortirait de manière probante du témoignage de ce dernier, selon lequel ce qui a été " versé à Madame A.________, soit en cash (la plupart du temps), soit sur son compte, était un mélange de donation et de remboursement de dettes matérielles et morales ". Ce grief doit être rejeté. Au vu du détail des montants figurant sur les comptes de la recourante, la simple déclaration générale du témoin énonçant sans précision trois causes d'obligation, soit la donation, le remboursement de dette et le devoir moral, il n'était pas insoutenable de juger qu'il y avait un réel accroissement de fortune dans le chapitre fiscal de la recourante, dont les causes n'étaient pas suffisamment précises pour s'assurer qu'il s'agissait d'éléments non imposables.</w:t>
      </w:r>
    </w:p>
    <w:p>
      <w:r>
        <w:rPr>
          <w:b/>
        </w:rPr>
        <w:t>E. 6</w:t>
      </w:r>
    </w:p>
    <w:p>
      <w:r>
        <w:t>Les considérants qui précèdent conduisent au rejet du recours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