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2C_464/2018 vom 29. November 2018</w:t>
      </w:r>
    </w:p>
    <w:p>
      <w:r>
        <w:t>Bundesgericht, 2018-11-29, DE</w:t>
      </w:r>
    </w:p>
    <w:p>
      <w:r>
        <w:rPr>
          <w:b/>
        </w:rPr>
        <w:t xml:space="preserve">Quelle: </w:t>
      </w:r>
      <w:r>
        <w:t>https://mcp.opencaselaw.ch/entscheid/bger_2C_464_2018</w:t>
      </w:r>
    </w:p>
    <w:p>
      <w:r>
        <w:t>FR: TF 2C_464/2018 du 29 novembre 2018</w:t>
      </w:r>
    </w:p>
    <w:p>
      <w:r>
        <w:t>IT: TF 2C_464/2018 del 29 novembre 2018</w:t>
      </w:r>
    </w:p>
    <w:p>
      <w:pPr>
        <w:pStyle w:val="Heading2"/>
      </w:pPr>
      <w:r>
        <w:t>Erwägungen</w:t>
      </w:r>
    </w:p>
    <w:p>
      <w:r>
        <w:rPr>
          <w:b/>
        </w:rPr>
        <w:t>E. 1.1</w:t>
      </w:r>
    </w:p>
    <w:p>
      <w:r>
        <w:t>Die Beschwerde in öffentlich-rechtlichen Angelegenheiten ist unzulässig gegen Entscheide über ausländerrechtliche Bewilligungen, auf deren Erteilung weder das Bundes- noch das Völkerrecht einen Rechtsanspruch einräumt ( Art. 83 lit. c Ziff. 2 BGG ). Die Beschwerdeführerin macht in vertretbarer Weise geltend, dass bei ihr ein nachehelicher Härtefall vorliege (Art. 50 AuG). Ob und inwiefern dies der Fall ist, bildet eine Frage der materiellen Beurteilung und nicht des Eintretens. Da die Eingabe der Beschwerdeführerin auch die weiteren Eintretensvoraussetzungen erfüllt, ist ihre Beschwerde in öffentlich-rechtlichen Angelegenheiten an die Hand zu nehmen.</w:t>
      </w:r>
    </w:p>
    <w:p>
      <w:r>
        <w:rPr>
          <w:b/>
        </w:rPr>
        <w:t>E. 1.2</w:t>
      </w:r>
    </w:p>
    <w:p>
      <w:r>
        <w:t>Die Beschwerde in öffentlich-rechtlichen Angelegenheiten ist indessen ausgeschlossen, soweit die Beschwerdeführerin geltend macht, sie sei vorläufig aufzunehmen, da ihr eine Rückkehr in die Ukraine nicht zugemutet werden könne ( Art. 83 lit. c Ziff. 3 und 4 BGG ). Gegen einen kantonalen Entscheid betreffend Wegweisung ist die subsidiäre Verfassungsbeschwerde zulässig, soweit die aufgeworfene Rechtsfrage nicht Gegenstand der Verhältnismässigkeitsprüfung der aufenthaltsbeendenden Massnahme bildet (vgl. Urteil 2C_204/2018 vom 9. September 2018 E. 1.3). Zwar können weggewiesene Personen gegen einen kantonalen Wegweisungsentscheid bzw. das Verneinen von Vollzugshindernissen mit der subsidiären Verfassungsbeschwerde an das Bundesgericht gelangen; dies gilt indessen nur, wenn sie sich dabei in vertretbarer Weise auf besondere verfassungsmässige Rechte berufen (vgl. BGE 137 II 305 E. 1.1 S. 307: Schutz des Lebens [ Art. 2 EMRK / Art. 10 Abs. 1 BV ]; Verbot jeder Art grausamer, unmenschlicher oder erniedrigender Behandlung oder Bestrafung [ Art. 3 EMRK / Art. 10 Abs. 3 und Art. 25 Abs. 3 BV ] usw.). Die Beschwerdeführerin legt mit keinem Wort dar, welche besonderen verfassungsmässigen Rechte ihre mit dem negativen Bewilligungsentscheid verbundene Wegweisung (Art. 64 Abs. 1 lit. c AuG) missachten würde. Auf die subsidiäre Verfassungsbeschwerde ist somit nicht einzutreten.</w:t>
      </w:r>
    </w:p>
    <w:p>
      <w:r>
        <w:rPr>
          <w:b/>
        </w:rPr>
        <w:t>E. 2.1</w:t>
      </w:r>
    </w:p>
    <w:p>
      <w:r>
        <w:t>Nach Art. 50 AuG besteht der Anspruch des Ehegatten und der Kinder auf Erteilung und Verlängerung der Aufenthaltsbewilligung fort, wenn die Ehegemeinschaft mindestens drei Jahre gedauert und die ausländische Person sich erfolgreich integriert hat (Abs. 1 lit. a) oder wenn wichtige persönliche Gründe einen weiteren Aufenthalt in der Schweiz erforderlich machen (Abs. 1 lit. b AuG). Dies kann der Fall sein, wenn die soziale Wiedereingliederung im Herkunftsland stark gefährdet erscheint (Art. 50 Abs. 2 AuG). Der Anspruch beginnt, wenn die Haus- bzw. Wohngemeinschaft nach aussen erkennbar dauernd aufgegeben wurde, ohne dass eine Ausnahme vom Erfordernis des Zusammenwohnens (Art. 49 AuG) vorläge. Der Anspruch steht zudem unter dem Vorbehalt der Widerrufsgründe nach Art. 62 Abs. 1 AuG (vgl. Art. 51 Abs. 2 lit. b AuG).</w:t>
      </w:r>
    </w:p>
    <w:p>
      <w:r>
        <w:rPr>
          <w:b/>
        </w:rPr>
        <w:t>E. 2.2.1</w:t>
      </w:r>
    </w:p>
    <w:p>
      <w:r>
        <w:t>Die Vorinstanz hat die bundesgerichtliche Rechtsprechung zu Art. 50 AuG zutreffend wiedergegeben und den Fall korrekt subsumiert: Die Ehe hat 18 Monate gedauert, wobei sich die Ehegattin während insgesamt acht Monaten in der Heimat bei ihrer Mutter aufgehalten hat. Die Beschwerdeführerin kann somit nichts aus Art. 50 Abs. 1 lit. a AuG zu ihren Gunsten ableiten.</w:t>
      </w:r>
    </w:p>
    <w:p>
      <w:r>
        <w:rPr>
          <w:b/>
        </w:rPr>
        <w:t>E. 2.2.2</w:t>
      </w:r>
    </w:p>
    <w:p>
      <w:r>
        <w:t>Soweit die Beschwerdeführerin geltend gemacht hat, Opfer von ehelicher Gewalt geworden zu sein, hat das von ihr eingeleitete Strafverfahren ergeben, dass ihr Gatte sie - anders als von ihr dargestellt - nicht gewürgt hat. Es konnten lediglich Druckmale festgestellt werden, welche ein Festhalten an den Armen belegten. Das Strafverfahren wurde am 24. März 2016 rechtskräftig eingestellt. Die Beschwerdeführerin hatte im Hinblick auf Art. 50 Abs. 1 lit. b in Verbindung mit Abs. 2 AuG zu Unrecht geltend gemacht, schwer misshandelt worden zu sein.</w:t>
      </w:r>
    </w:p>
    <w:p>
      <w:r>
        <w:rPr>
          <w:b/>
        </w:rPr>
        <w:t>E. 2.3</w:t>
      </w:r>
    </w:p>
    <w:p>
      <w:r>
        <w:t>Inzwischen wendet die Beschwerdeführerin ein, aufgrund der Verhältnisse in ihrer Heimat sei ihre soziale Wiedereingliederung stark gefährdet (Art. 50 Abs. 1 lit. b i.V.m. Abs. 2 AuG). Auch wenn es in der Ostukraine regelmässig zu Kampfhandlungen kommt, hat sich die Beschwerdeführerin während ihrer Ehe in der Schweiz - auch nach dem Ausbrechen der kriegerischen Auseinandersetzungen im Frühjahr 2014 - wiederholt und jeweils für längere Zeit in Donetsk aufgehalten. Zum Einwand, sie sei als ehemalige Polizistin besonders gefährdet und müsse befürchten, vom Militär zwangsrekrutiert zu werden, legt sie keine Unterlagen vor, die dies auch nur ansatzweise bestätigen würden. Während ihren längeren Aufenthalten bei der Mutter in Donetsk ist sie nie behelligt worden. Im Übrigen verpflichtet sie nichts, in Donetsk zu verbleiben; sich kann sich mit ihrer Mutter auch in einen anderen, ruhigeren Landesteil begeben ("Innerstaatliche Schutzalternative"; vgl. das Urteil des Bundesverwaltungsgerichts E-5421/2015 vom 28. Juni 2017 zur Situation in der Ukraine).</w:t>
      </w:r>
    </w:p>
    <w:p>
      <w:r>
        <w:rPr>
          <w:b/>
        </w:rPr>
        <w:t>E. 3.1</w:t>
      </w:r>
    </w:p>
    <w:p>
      <w:r>
        <w:t>Die Beschwerde erweist sich somit als offensichtlich unbegründet und kann im vereinfachten Verfahren nach Art. 109 BGG erledigt werden. Das Bundesgericht begründet in diesem Fall sein Urteil nur summarisch; für alles Weitere wird ergänzend auf die zutreffenden Darlegungen im angefochtenen Entscheid verwiesen ( Art. 109 Abs. 3 BGG ).</w:t>
      </w:r>
    </w:p>
    <w:p>
      <w:r>
        <w:rPr>
          <w:b/>
        </w:rPr>
        <w:t>E. 3.2</w:t>
      </w:r>
    </w:p>
    <w:p>
      <w:r>
        <w:t>Die Beschwerde war aussichtslos, weshalb das Gesuch um unentgeltliche Rechtspflege und Verbeiständung abzuweisen ist (vgl. Art. 64 BGG ). Die Beschwerdeführerin hat die Kosten für das bundesgerichtliche Verfahren zu tragen ( Art. 66 Abs. 1 BGG ). Bei der Festsetzung von deren Höhe wird dem Umstand Rechnung getragen, dass das Bundesgericht das Gesuch um unentgeltliche Rechtspflege und Verbeiständung nicht vorab beurteilt hat, was es der Beschwerdeführerin erlaubt hätte, ihre Eingabe noch zurückzuziehen.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