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2C_462/2014 vom 24. November 2014</w:t>
      </w:r>
    </w:p>
    <w:p>
      <w:r>
        <w:t>Bundesgericht, 2014-11-24, DE</w:t>
      </w:r>
    </w:p>
    <w:p>
      <w:r>
        <w:rPr>
          <w:b/>
        </w:rPr>
        <w:t xml:space="preserve">Quelle: </w:t>
      </w:r>
      <w:r>
        <w:t>https://mcp.opencaselaw.ch/entscheid/bger_2C_462_2014</w:t>
      </w:r>
    </w:p>
    <w:p>
      <w:r>
        <w:t>FR: TF 2C_462/2014 du 24 novembre 2014</w:t>
      </w:r>
    </w:p>
    <w:p>
      <w:r>
        <w:t>IT: TF 2C_462/2014 del 24 novembre 2014</w:t>
      </w:r>
    </w:p>
    <w:p>
      <w:pPr>
        <w:pStyle w:val="Heading2"/>
      </w:pPr>
      <w:r>
        <w:t>Erwägungen</w:t>
      </w:r>
    </w:p>
    <w:p>
      <w:r>
        <w:rPr>
          <w:b/>
        </w:rPr>
        <w:t>E. 1</w:t>
      </w:r>
    </w:p>
    <w:p>
      <w:r>
        <w:t>Die Beschwerde in öffentlich-rechtlichen Angelegenheiten gegen einen kantonal letztinstanzlichen Endentscheid in Angelegenheiten des öffentlichen Rechts ist grundsätzlich zulässig ( Art. 82 lit. a, Art. 86 Abs. 1 lit. d und Art. 90 BGG ), im Bereich des Ausländerrechts jedoch u.a. unzulässig gegen Entscheide betreffend Bewilligungen, auf die weder das Bundesrecht noch das Völkerrecht einen Anspruch einräumt (Art. 83 lit. c Ziff. 2 AuG). E contrario ist sie zulässig gegen Entscheid betreffend den Widerruf der Niederlassungsbewilligung, da auf deren Fortbestand grundsätzlich ein Rechtsanspruch besteht (bestätigt im Urteil 2C_611/2013 vom 13. Oktober 2014, mit Hinweis auf BGE 135 II 1 E. 1.2.1 S. 4). Sie muss daher auch zulässig sein in Bezug auf Revisionsgesuche, welche den Widerruf der Niederlassungsbewilligung betreffen.</w:t>
      </w:r>
    </w:p>
    <w:p>
      <w:r>
        <w:rPr>
          <w:b/>
        </w:rPr>
        <w:t>E. 2</w:t>
      </w:r>
    </w:p>
    <w:p>
      <w:r>
        <w:t>Gegenstand des Verfahrens ist zunächst die Frage, welche Behörde für die Behandlung des Revisionsgesuchs vom 11. April 2013 zuständig sei.</w:t>
      </w:r>
    </w:p>
    <w:p>
      <w:r>
        <w:rPr>
          <w:b/>
        </w:rPr>
        <w:t>E. 2.1</w:t>
      </w:r>
    </w:p>
    <w:p>
      <w:r>
        <w:t>Mit Urteil des Bundesgerichts vom 29. Oktober 2012 wurde rechtskräftig ( Art. 61 BGG ) entschieden, dass die Niederlassungsbewilligung des Beschwerdeführers widerrufen wird. Gegen diesen Entscheid ist die Revision möglich, sofern einer der in den Art. 121-123 BGG genannten Revisionsgründe vorliegt. Das Revisionsgesuch ist innert der in Art. 124 BGG genannten Fristen beim Bundesgericht einzureichen.</w:t>
      </w:r>
    </w:p>
    <w:p>
      <w:r>
        <w:rPr>
          <w:b/>
        </w:rPr>
        <w:t>E. 2.2</w:t>
      </w:r>
    </w:p>
    <w:p>
      <w:r>
        <w:t>Die Beschwerde in öffentlich-rechtlichen Angelegenheiten an das Bundesgericht ist ein devolutives und grundsätzlich reformatorisches Rechtsmittel ( Art. 107 BGG ; BGE 138 II 169 E. 3.3 S. 171). Dementsprechend ersetzt der Sachentscheid des Bundesgerichts den vorinstanzlichen Entscheid ( BGE 134 II 142 E. 1.4 S. 144; 130 V 138 E. 4.2 S. 142 f.; HÄFELIN/MÜLLER/UHLMANN, Allgemeines Verwaltungsrecht, 6. A. 2010, S. 414 Rz. 1807; KIENER/RÜTSCHE/KUHN, Öffentliches Verfahrensrecht, 2012, S. 365 Rz. 1539). Ein Revisionsgesuch kann deshalb nur gegen das Urteil des Bundesgerichts gerichtet werden, nicht gegen die diesem vorangegangenen Entscheide der unteren Instanzen ( BGE 134 III 669 E. 2.2 S. 670 f.; Urteile 8C_602/2011 vom 30. September 2011 E. 1.3; 2C_810/2009 vom 26. Mai 2010 E. 3.1.2). Denn mit einem solchen Vorgehen würde eine untere Instanz das Sachurteil des Bundesgerichts aufheben oder abändern, was offensichtlich nicht angeht.</w:t>
      </w:r>
    </w:p>
    <w:p>
      <w:r>
        <w:rPr>
          <w:b/>
        </w:rPr>
        <w:t>E. 2.3</w:t>
      </w:r>
    </w:p>
    <w:p>
      <w:r>
        <w:t>Daraus ergibt sich, dass für die Behandlung des Revisionsgesuchs einzig das Bundesgericht zuständig sein konnte, wie die Vorinstanz mit Recht erwogen hat.</w:t>
      </w:r>
    </w:p>
    <w:p>
      <w:r>
        <w:rPr>
          <w:b/>
        </w:rPr>
        <w:t>E. 3</w:t>
      </w:r>
    </w:p>
    <w:p>
      <w:r>
        <w:t>Der Beschwerdeführer rügt weiter, die Vorinstanz hätte das Revisionsgesuch an das Bundesgericht weiterleiten müssen.</w:t>
      </w:r>
    </w:p>
    <w:p>
      <w:r>
        <w:rPr>
          <w:b/>
        </w:rPr>
        <w:t>E. 3.1</w:t>
      </w:r>
    </w:p>
    <w:p>
      <w:r>
        <w:t>Nach Art. 48 Abs. 3 BGG gilt eine Frist (für Eingaben an das Bundesgericht) als gewahrt, wenn die Eingabe rechtzeitig bei der Vorinstanz oder bei einer unzuständigen eidgenössischen oder kantonalen Behörde eingereicht worden ist. Die Eingabe ist unverzüglich dem Bundesgericht zu übermitteln.</w:t>
      </w:r>
    </w:p>
    <w:p>
      <w:r>
        <w:rPr>
          <w:b/>
        </w:rPr>
        <w:t>E. 3.2</w:t>
      </w:r>
    </w:p>
    <w:p>
      <w:r>
        <w:t>Art. 48 Abs. 3 BGG ist Ausdruck des allgemeinen Rechtsgrundsatzes von Treu und Glauben und des Verbots übertriebener Formstrenge; er will vermeiden, dass eine Partei, die aufgrund von Zweifeln, irreführender Rechtsmittelbelehrung, Rechtsunkenntnis oder faktischer Unmöglichkeit eine für das Bundesgericht bestimmte Eingabe bei einer unzuständigen Behörde einreicht, um ihr Recht gebracht wird (Urteil 2C_610/2010 vom 21. Januar 2011 E. 2.5; AMSTUTZ/ARNOLD, Basler Kommentar BGG, 2. A., N 21 zu Art. 48; FRÉSARD, Commentaire LTF, 2. A., N. 20 und 22 zu Art. 48; vgl. zur Regelung unter dem OG BGE 121 I 93 E. 1d). Art. 48 Abs. 3 BGG darf aber nicht missbräuchlich angerufen werden und entbindet die Parteien nicht von der Obliegenheit zur sorgfältigen Prozessführung (Urteile 1C_427/2009 vom 16. November 2009 E. 1.5; 1C_104/2008 vom 13. März 2008 E. 1.2.1, in: RtiD 2008 II pag. 160; CAVELTI, Kommentar VwVG, 2008, Rz. 17 zu Art. 21). Rechtsmissbrauch liegt nicht bereits vor, wenn jemand seine an die zuständige Behörde adressierte Eingabe bei einer anderen Behörde einreicht (Urteile 6B_9/2012 vom 7. Mai 2012 E. 1.3; 9C_885/2009 vom 1. Februar 2010 E. 4.2, SVR 2010 IV N. 57; 1C_379/2008 vom 12. Januar 2009 E. 1.2, ZBl 111/2010 S. 588). Aber wer bewusst oder trölerisch seine Eingabe an eine unzuständige Behörde richtet, kann sich nicht auf die Weiterleitungspflicht berufen (Urteile 2C_610/2010 vom 21. Januar 2011 E. 2.5; 2D_19/2009 vom 10. Juni 2009 E. 2.2; 2C_98/2008 vom 12. März 2008 E. 2.3).</w:t>
      </w:r>
    </w:p>
    <w:p>
      <w:r>
        <w:rPr>
          <w:b/>
        </w:rPr>
        <w:t>E. 3.3</w:t>
      </w:r>
    </w:p>
    <w:p>
      <w:r>
        <w:t>Dass die Revision eines bundesgerichtlichen Urteils nicht durch eine kantonale Verwaltungsstelle erfolgen kann (vorne E. 2.2), gehört zum Elementarwissen eines Anwalts. Dennoch hat der anwaltlich vertretene Beschwerdeführer sein Revisionsgesuch ausdrücklich an das kantonale Migrationsamt gerichtet und eine Revision der (durch das Urteil des Bundesgerichts ersetzten) Verfügung vom 7. Mai 2010 beantragt. Es musste dem Anwalt ohne weiteres klar sein, dass ein solches Vorgehen unzulässig ist. Das Revisionsgesuch ist zudem auch inhaltlich offensichtlich unbegründet: Der Beschwerdeführer beruft sich darin einerseits auf neue Tatsachen oder Beweismittel, die nach dem Urteil des Bundesgerichts vom 29. Oktober 2012 entstanden sind und daher von vornherein keinen Revisionsgrund darstellen können ( Art. 123 Abs. 2 lit. a BGG ); jedenfalls so lange als sie - wie hier - die tatbeständliche Grundlage des Urteils nicht in erheblichem Ausmass verändern (vgl. Urteil 8F_8/2009 vom 3. Dezember 2009 E. 1.2). Andererseits kritisiert er in appellatorischer Weise das Urteil des Bundesgerichts. Das Gesuch ist offensichtlich Teil einer trölerischen Strategie mit dem Ziel, die Vollstreckung des rechtskräftigen Bundesgerichtsurteils zu hintertreiben. Ein derartiges Vorgehen ist missbräuchlich. Das Verwaltungsgericht war deshalb nicht verpflichtet, das Gesuch dem Bundesgericht weiterzuleiten.</w:t>
      </w:r>
    </w:p>
    <w:p>
      <w:r>
        <w:rPr>
          <w:b/>
        </w:rPr>
        <w:t>E. 4</w:t>
      </w:r>
    </w:p>
    <w:p>
      <w:r>
        <w:t>Der Beschwerdeführer kritisiert zudem, dass die Vorinstanz die unentgeltliche Rechtspflege infolge Aussichtslosigkeit verweigert habe. Wie sich aus dem Vorangehenden ergibt, war das Vorgehen des Beschwerdeführers jedoch von vornherein aussichtslos.</w:t>
      </w:r>
    </w:p>
    <w:p>
      <w:r>
        <w:rPr>
          <w:b/>
        </w:rPr>
        <w:t>E. 5</w:t>
      </w:r>
    </w:p>
    <w:p>
      <w:r>
        <w:t>Die Beschwerde ist aus diesen Gründen abzuweisen. Das auch vor Bundesgericht gestellte Gesuch um unentgeltliche Rechtspflege ist infolge Aussichtslosigkeit abzuweisen ( Art. 64 Abs. 1 BGG ).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