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2C_462/2009 vom 10. September 2009</w:t>
      </w:r>
    </w:p>
    <w:p>
      <w:r>
        <w:t>Bundesgericht, 2009-09-10, FR</w:t>
      </w:r>
    </w:p>
    <w:p>
      <w:r>
        <w:rPr>
          <w:b/>
        </w:rPr>
        <w:t xml:space="preserve">Quelle: </w:t>
      </w:r>
      <w:r>
        <w:t>https://mcp.opencaselaw.ch/entscheid/bger_2C_462_2009</w:t>
      </w:r>
    </w:p>
    <w:p>
      <w:r>
        <w:t>FR: TF 2C_462/2009 du 10 septembre 2009</w:t>
      </w:r>
    </w:p>
    <w:p>
      <w:r>
        <w:t>IT: TF 2C_462/2009 del 10 settembre 2009</w:t>
      </w:r>
    </w:p>
    <w:p>
      <w:pPr>
        <w:pStyle w:val="Heading2"/>
      </w:pPr>
      <w:r>
        <w:t>Erwägungen</w:t>
      </w:r>
    </w:p>
    <w:p>
      <w:r>
        <w:rPr>
          <w:b/>
        </w:rPr>
        <w:t>E. 1</w:t>
      </w:r>
    </w:p>
    <w:p>
      <w:r>
        <w:t>Le 1er janvier 2008 est entrée en vigueur la loi fédérale du 16 décembre 2005 sur les étrangers (LEtr; RS 142.20), qui a remplacé la loi fédérale sur le séjour et l'établissement des étrangers. En vertu de l'art. 126 al. 1 LEtr, les demandes déposées avant l'entrée en vigueur de la loi sont régies par l'ancien droit.</w:t>
      </w:r>
    </w:p>
    <w:p>
      <w:r>
        <w:t>En l'occurrence, la demande d'autorisation de séjour a été déposée le 17 février 2004, puis de nouveau le 25 janvier 2005, soit avant l'entrée en vigueur de la nouvelle loi. La présente affaire doit donc être examinée à la lumière de l'ancienne loi fédérale sur le séjour et l'établissement des étrangers.</w:t>
      </w:r>
    </w:p>
    <w:p>
      <w:r>
        <w:rPr>
          <w:b/>
        </w:rPr>
        <w:t>E. 2.1</w:t>
      </w:r>
    </w:p>
    <w:p>
      <w:r>
        <w:t>Selon l'art. 83 lettre c ch. 2 LTF, le recours en matière de droit public est irrecevable contre les décisions en matière de droit des étrangers qui concernent une autorisation à laquelle ni le droit fédéral ni le droit international ne donne droit. Comme les autres clauses d'exclusion de l' art. 83 LTF , cette disposition vaut pour toutes les décisions rendues dans une affaire tombant sous le coup d'une exception, qu'il s'agisse d'une décision de fond ou de procédure (Alain Wurzburger, Commentaire de la LTF, 2009, no 17 ad art. 83 LTF ).</w:t>
      </w:r>
    </w:p>
    <w:p>
      <w:r>
        <w:rPr>
          <w:b/>
        </w:rPr>
        <w:t>E. 2.2</w:t>
      </w:r>
    </w:p>
    <w:p>
      <w:r>
        <w:t>Selon la jurisprudence, un étranger peut, selon les circonstances, se prévaloir du droit au respect de sa vie privée et familiale au sens de l'art. 8 § 1 CEDH pour s'opposer à une éventuelle séparation de sa famille. Encore faut-il, pour pouvoir invoquer cette disposition, que la relation entre l'étranger et une personne de sa famille ayant le droit de résider durablement en Suisse soit étroite et effective ( ATF 130 II 281 consid. 3.1 p. 285/286, 129 II 193 consid. 5.3.1 p. 211, 215 consid. 4.1 p. 218). Les relations visées par l' art. 8 CEDH sont avant tout celles qui existent entre époux, ainsi que les relations entre parents et enfants mineurs vivant en ménage commun ( ATF 127 II 60 consid. 1d/aa p. 65; 120 Ib 257 consid. 1d p. 261). S'agissant d'autres relations entre proches parents, la protection de l' art. 8 CEDH suppose que l'étranger se trouve dans un état de dépendance particulier à l'égard du parent ayant le droit de résider en Suisse. Tel est le cas lorsqu'il a besoin d'une attention et de soins que seuls les proches parents sont en mesure de prodiguer. Cela vaut notamment pour les enfants majeurs vis-à-vis de leurs parents ( ATF 129 II 11 consid. 2 p. 14). Les prétentions tirées de l' art. 8 CEDH sont examinées sur la base de l'état de fait existant lors du prononcé du jugement ( ATF 129 II 11 consid. 2 p. 13/14; arrêt 2A.558/2006 du 22 février 2007 consid. 2.3).</w:t>
      </w:r>
    </w:p>
    <w:p>
      <w:r>
        <w:rPr>
          <w:b/>
        </w:rPr>
        <w:t>E. 2.3</w:t>
      </w:r>
    </w:p>
    <w:p>
      <w:r>
        <w:t>En l'occurrence, les deux fils du recourant sont entre-temps devenus majeurs. Une relation de dépendance n'étant pas alléguée, le recourant ne peut valablement invoquer l' art. 8 CEDH . Il ne peut pas non plus se prévaloir de l' art. 17 al. 2 LSEE aux fins d'en déduire un droit à une autorisation de séjour. Il s'ensuit que le recours en matière de droit public est irrecevable, en vertu de l'art. 83 lettre c ch. 2 LTF. L'acte du recourant ne peut du reste pas davantage être reçu comme recours constitutionnel subsidiaire. En effet, l' art. 115 lettre b LTF fait dépendre la qualité pour interjeter un tel recours d'un intérêt juridique à l'annulation ou à la modification de la décision attaquée. Selon la jurisprudence, le principe de l'interdiction de l'arbitraire ( art. 9 Cst. ) ne confère pas à lui seul une position juridiquement protégée au sens de la disposition précitée. Un recourant n'a qualité pour former un recours constitutionnel subsidiaire que si les dispositions légales dont il dénonce l'application arbitraire lui accordent un droit ou servent à protéger ses intérêts prétendument lésés ( ATF 133 I 185 consid. 4.1 p. 191 et 6.3 p. 200 et les arrêts cités).</w:t>
      </w:r>
    </w:p>
    <w:p>
      <w:r>
        <w:t>En l'occurrence, le recourant soutient que le rejet par l'autorité précédente de sa requête d'effet suspensif est arbitraire. En effet, de son point de vue, les conditions dont l' art. 66 al. 2 LPA - qui serait applicable en vertu du renvoi de l'art. 3 al. 3 de la loi genevoise du 16 juin 1988 d'application de la loi fédérale sur les étrangers (LaLEtr; RS/GE F 2 10) - fait dépendre la restitution de l'effet suspensif, seraient réalisées.</w:t>
      </w:r>
    </w:p>
    <w:p>
      <w:r>
        <w:t>Selon l'art. 3 al. 3 LaLEtr, le recours au Tribunal administratif contre la décision de la Commission cantonale de recours en matière administrative n'a pas d'effet suspensif. L' art. 66 al. 2 LPA est toutefois réservé. Aux termes de cette dernière disposition, lorsque aucun intérêt public ou privé prépondérant ne s'y oppose, la juridiction de recours peut, sur la demande de la partie dont les intérêts sont gravement menacés, retirer ou restituer l'effet suspensif.</w:t>
      </w:r>
    </w:p>
    <w:p>
      <w:r>
        <w:t>A supposer que l' art. 66 al. 2 LPA soit applicable - et non l' art. 21 LPA , comme l'a admis l'autorité précédente -, cette disposition ne confère pas au recourant un droit à ce que son recours soit doté de l'effet suspensif. Il s'agit au contraire d'une disposition qui laisse la restitution de l'effet suspensif à l'appréciation de l'autorité de recours, laquelle procède à une pesée des intérêts. Dans ces conditions, le recourant n'a pas qualité pour se plaindre par la voie du recours constitutionnel subsidiaire que le refus de conférer l'effet suspensif à son recours serait arbitraire.</w:t>
      </w:r>
    </w:p>
    <w:p>
      <w:r>
        <w:rPr>
          <w:b/>
        </w:rPr>
        <w:t>E. 3</w:t>
      </w:r>
    </w:p>
    <w:p>
      <w:r>
        <w:t>Vu ce qui précède, le recours doit être déclaré irrecevable.</w:t>
      </w:r>
    </w:p>
    <w:p>
      <w:r>
        <w:t>Avec la présente décision, la requête d'effet suspensif est sans objet.</w:t>
      </w:r>
    </w:p>
    <w:p>
      <w:r>
        <w:t>Succombant, le recourant supporte les frais judiciaires (cf. art. 66 al. 1 LTF )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