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2C_461/2021 vom 19. Januar 2022</w:t>
      </w:r>
    </w:p>
    <w:p>
      <w:r>
        <w:t>Bundesgericht, 2022-01-19, FR</w:t>
      </w:r>
    </w:p>
    <w:p>
      <w:r>
        <w:rPr>
          <w:b/>
        </w:rPr>
        <w:t xml:space="preserve">Quelle: </w:t>
      </w:r>
      <w:r>
        <w:t>https://mcp.opencaselaw.ch/entscheid/bger_2C_461_2021</w:t>
      </w:r>
    </w:p>
    <w:p>
      <w:r>
        <w:t>FR: TF 2C_461/2021 du 19 janvier 2022</w:t>
      </w:r>
    </w:p>
    <w:p>
      <w:r>
        <w:t>IT: TF 2C_461/2021 del 19 gennaio 2022</w:t>
      </w:r>
    </w:p>
    <w:p>
      <w:pPr>
        <w:pStyle w:val="Heading2"/>
      </w:pPr>
      <w:r>
        <w:t>Erwägungen</w:t>
      </w:r>
    </w:p>
    <w:p>
      <w:r>
        <w:rPr>
          <w:b/>
        </w:rPr>
        <w:t>E. 1</w:t>
      </w:r>
    </w:p>
    <w:p>
      <w:r>
        <w:t>La voie du recours en matière de droit public est ouverte ( art. 82 let. a LTF ), dès lors que la cause porte sur le statut de société holding en matière d'impôts cantonal et communal (cf. art. 28 al. 2 de la loi fédérale du 14 décembre 1990 sur l'harmonisation des impôts directs des cantons et des communes [LHID; RS 642.14], dans sa teneur jusqu'au 31 décembre 2019), à savoir une matière harmonisée (cf. art. 73 al. 1 LHID ).</w:t>
      </w:r>
    </w:p>
    <w:p>
      <w:r>
        <w:t>Au surplus, le recours, déposé en temps utile ( art. 100 al. 1 LTF ) et en la forme prévue ( art. 42 LTF ) à l'encontre d'un arrêt final (la Commission de recours n'a pas renvoyé la cause à l'autorité de taxation pour l'émission de nouveaux bordereaux) ( art. 90 LTF ) rendu par une autorité cantonale de dernière instance ( art. 86 al. 1 let . d LTF), par le Département des finances qui a la qualité pour recourir ( art. 89 al. 2 let . d LTF; art. 73 al. 2 LHID ), est recevable.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139 III 120 consid. 3.1.2).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 ATF 136 III 123 consid. 4.4.3).</w:t>
      </w:r>
    </w:p>
    <w:p>
      <w:r>
        <w:rPr>
          <w:b/>
        </w:rPr>
        <w:t>E. 3</w:t>
      </w:r>
    </w:p>
    <w:p>
      <w:r>
        <w:t>Le litige porte sur le statut de société holding de la société intimée pour la période fiscale 2017, au niveau de l'impôt cantonal et communal sur le bénéfice.</w:t>
      </w:r>
    </w:p>
    <w:p>
      <w:r>
        <w:rPr>
          <w:b/>
        </w:rPr>
        <w:t>E. 4.1</w:t>
      </w:r>
    </w:p>
    <w:p>
      <w:r>
        <w:t>Le recourant se prévaut d'une constatation manifestement inexacte des faits (cf. art. 97 al. 1 LTF ) en tant que l'arrêt attaqué retient que la société intimée a bénéficié du statut de société holding de 1967 à 2016. Il fournit deux pièces nouvelles attestant qu'à deux reprises, à savoir le 27 mars 1991 et le 22 mars 2001, le fisc a fait savoir à celle-ci qu'elle ne remplissait pas les critères pour que ledit statut lui soit reconnu. Il avance que ces pièces ont été rendues pertinentes pour le sort de la cause à la suite de l'arrêt attaqué: la Commission de recours a retenu que la société avait été imposée comme société holding de 1967 à 2016 et en a déduit qu'en conséquence l'autorité de taxation était liée par les taxations de ces 49 ans, en vertu du principe de la bonne foi.</w:t>
      </w:r>
    </w:p>
    <w:p>
      <w:r>
        <w:rPr>
          <w:b/>
        </w:rPr>
        <w:t>E. 4.2</w:t>
      </w:r>
    </w:p>
    <w:p>
      <w:r>
        <w:t>Il convient de suivre l'argumentation du recourant. Avant que la Commission de recours se prononce et admette le recours de la société pour violation du principe de la bonne foi, la cause n'avait porté que sur le fond, à savoir les conditions à remplir pour être qualifiée de société holding. Il n'avait jamais été question des taxations des années antérieures et il n'apparaît pas que ladite commission ait instruit ce point. Dès lors, les nouvelles pièces susmentionnées sont admises et il sera tenu compte de leur contenu dans la suite du raisonnement.</w:t>
      </w:r>
    </w:p>
    <w:p>
      <w:r>
        <w:rPr>
          <w:b/>
        </w:rPr>
        <w:t>E. 5</w:t>
      </w:r>
    </w:p>
    <w:p>
      <w:r>
        <w:t>Selon le recourant, c'est à tort que les juges précédents ont retenu que les conditions de la protection de la bonne foi étaient remplies. Il prétend, en effet, qu'il n'aurait jamais expressément promis à l'intimée qu'elle bénéficierait ad aeternam du statut privilégié de société holding. De plus, ce ne serait qu'à partir de la période fiscale 2002 et pas 1967, comme retenu de façon arbitraire par l'autorité précédente, que ledit statut lui aurait été reconnu. Depuis lors, le Service des contributions aurait informé l'intimée à deux reprises qu'il la considérait comme une société de placement de capitaux ordinaire et entendait la taxer comme telle, ainsi que cela avait été fait de 1967 à 2001. En outre, l'arrêt attaqué violerait le principe de la légalité. Ledit statut aurait été accordé à la société par erreur, celle-ci n'ayant jamais rempli les critères fixés pour l'obtenir. Finalement, en vertu du principe de l'étanchéité des exercices comptables et des périodes fiscales, le fisc ne serait pas lié pour le futur par une décision de taxation prise pour une période fiscale déterminée, sous peine de ne jamais pouvoir rectifier une erreur commise.</w:t>
      </w:r>
    </w:p>
    <w:p>
      <w:r>
        <w:rPr>
          <w:b/>
        </w:rPr>
        <w:t>E. 5.1</w:t>
      </w:r>
    </w:p>
    <w:p>
      <w:r>
        <w:t>Le droit fondamental du particulier à la protection de sa bonne foi dans ses relations avec l'Etat, dont le Tribunal fédéral contrôle librement le respect ( ATF 147 IV 274 consid. 1.10.1), découle directement de l' art. 9 Cst.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143 V 95 consid. 3.6.2; 141 V 530 consid. 6.2).</w:t>
      </w:r>
    </w:p>
    <w:p>
      <w:r>
        <w:t>Le principe de la bonne foi régit aussi les rapports entre les autorités fiscales et les contribuables. Le droit fiscal est toutefois dominé par le principe de la légalité. Dès lors, le principe de la bonne foi ne saurait avoir qu'une influence limitée, s'il vient à entrer en conflit avec le principe de la légalité (cf. art. 5 et 9 Cst. ; ATF 137 II 182 consid. 3.6.2; 131 II 627 consid. 6.1; 118 Ib 312 consid. 3b). Le contribuable ne peut bénéficier d'un traitement dérogeant à la loi que si les conditions mentionnées ci-dessus - qui doivent être interprétées de manière stricte - sont remplies de manière claire et sans équivoque (StE 2013 A 21.14 23, 2C_603/2012 consid. 4 et l'arrêt cité).</w:t>
      </w:r>
    </w:p>
    <w:p>
      <w:r>
        <w:t>En application du principe de l'étanchéité (ou de l'indépendance) des exercices comptables et des périodes fiscales, l'autorité fiscale n'est pas liée pour l'avenir par une taxation notifiée pour une période fiscale déterminée; si tel était le cas, elle risquerait de se trouver indéfiniment liée par une erreur ou une omission qu'elle aurait pu commettre initialement. En réalité, le principe de la légalité exclut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 ATF 147 II 155 consid. 10.5.1 et les arrêts cités).</w:t>
      </w:r>
    </w:p>
    <w:p>
      <w:r>
        <w:rPr>
          <w:b/>
        </w:rPr>
        <w:t>E. 5.2</w:t>
      </w:r>
    </w:p>
    <w:p>
      <w:r>
        <w:t>En l'espèce, s'agissant de l'exigence selon laquelle l'autorité doit s'être prononcée dans un cas concret à l'égard d'une personne déterminée (condition (1) ci-dessus), il ne ressort pas des faits constatés dans l'arrêt attaqué que le Service des contributions aurait assuré à la société intimée qu'elle se verrait reconnaître le statut de société holding pour la période fiscale 2017. Celle-ci ne le prétend d'ailleurs pas. De plus, selon les deux pièces versées à la procédure, en date du 27 mars 1991, en réponse à une réclamation de l'intimée, le Service des contributions lui avait fait savoir qu'elle considérait que celle-ci était "une société de placement de capitaux qui ne [pouvait] pas bénéficier fiscalement du régime holding". De même, le 22 mars 2001, ledit service avait répondu à l'intimée qu'elle ne remplissait pas les conditions légales pour être imposée comme une société holding ni pour une réduction sur participations. Le fait que l'intimée ait bénéficié de ce statut pour des périodes fiscales antérieures à 2017 ne peut remplacer une prise de position expresse de l'administration fiscale pour la période fiscale en cause, condition qui doit être remplie pour que le principe de la bonne foi s'applique et prenne le pas sur le principe de la légalité. En effet, le fisc procède à la taxation pour chaque période fiscale et peut, d'une période à l'autre, revoir entièrement la situation initiale, modifier son appréciation et corriger des erreurs commises lors de taxations précédentes. Ainsi, en vertu du principe de l'étanchéité des périodes fiscales, l'autorité n'est pas liée pour l'avenir par une taxation notifiée pour une année fiscale déterminée et la contribuable ne peut pas s'opposer à l'examen de son statut de société holding pour la période fiscale 2017 au motif qu'elle en avait bénéficié précédemment (cf. aussi arrêt 2C_888/2014 du 7 juin 2015 consid. 7.3, in RDAF 2015 II 311, cas dans lequel les autorités fiscales avaient octroyé, à une société, le traitement fiscal prévu par un ruling au-delà de la durée initiale de cinq ans).</w:t>
      </w:r>
    </w:p>
    <w:p>
      <w:r>
        <w:t>Il est vrai que l'arrêt 2C_939/2019 du 25 mai 2020 consid. 2.4.1, sur lequel l'autorité précédente a fondé sa décision, mentionne que, selon la pratique du Tribunal fédéral, l'autorité de taxation peut être liée par un traitement fiscal appliqué pendant une longue période, pour autant que les circonstances n'aient pas subi de changement juridiquement significatif. Toutefois, outre que cette jurisprudence souligne que, même dans ces circonstances, le principe de légalité reste très important en droit fiscal, elle fait uniquement référence à l'allocation d'un bien à la fortune privée respectivement à la fortune commerciale: un transfert de la fortune privée dans la fortune commerciale ou de la fortune commerciale à la fortune privée après des années de classification dans une des deux fortunes peut violer le principe de la bonne foi. In casu, l'objet du litige ne relève pas d'un telle allocation, qui se fait au terme de l'appréciation des circonstances du cas d'espèce, mais de la reconnaissance du statut de société holding qui dépend de savoir si les conditions pour obtenir ce statut sont remplies ou pas, ce qui peut différer d'une période à l'autre.</w:t>
      </w:r>
    </w:p>
    <w:p>
      <w:r>
        <w:rPr>
          <w:b/>
        </w:rPr>
        <w:t>E. 5.3</w:t>
      </w:r>
    </w:p>
    <w:p>
      <w:r>
        <w:t>Au regard ce qui précède, dès lors que le Service des contributions n'a jamais expressément garanti à la société intimée qu'elle lui reconnaîtrait le statut privilégié de société holding pour la période fiscale 2017, les conditions cumulatives du droit à la protection de la bonne foi ne sont pas remplies et c'est à tort que la Commission de recours a jugé que l'intimée pouvait bénéficier de celle-ci. Par conséquent, le grief est bien fondé.</w:t>
      </w:r>
    </w:p>
    <w:p>
      <w:r>
        <w:rPr>
          <w:b/>
        </w:rPr>
        <w:t>E. 6</w:t>
      </w:r>
    </w:p>
    <w:p>
      <w:r>
        <w:t>En conséquence, les autres moyens de l'intéressé, à savoir la constatation manifestement inexacte des faits, la violation de l' art. 28 al. 2 LHID , ainsi que celle des art. 92 al. 1 à 3 et 92a de la loi fiscale valaisanne du 10 mars 1976 (LF; RS/VD 642.1), n'ont pas à être examinés.</w:t>
      </w:r>
    </w:p>
    <w:p>
      <w:r>
        <w:rPr>
          <w:b/>
        </w:rPr>
        <w:t>E. 7</w:t>
      </w:r>
    </w:p>
    <w:p>
      <w:r>
        <w:t>Au regard de ce qui précède, le recours est admis et la décision du 11 mars 2021 de la Commission de recours est annulée. Comme ladite commission s'est limitée à admettre le statut de holding sous l'angle de la bonne foi, mais n'a pas examiné si, juridiquement, la société intimée peut se voir octroyer le statut de société holding ou de domicile pour la période fiscale 2017, et que la décision entreprise ne contient pas les éléments de fait suffisants pour pouvoir statuer, il convient de renvoyer le dossier à cette autorité ( art. 107 al. 2 LTF ), afin qu'elle se prononce sur ce point.</w:t>
      </w:r>
    </w:p>
    <w:p>
      <w:r>
        <w:t>Les frais judiciaires, arrêtés à 2'000 fr., sont mis à la charge de la société intimée qui succombe ( art. 65 et 66 al. 1 LTF ). Le Département des finances n'a pas droit à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