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2C_461/2017 vom 23. Mai 2017</w:t>
      </w:r>
    </w:p>
    <w:p>
      <w:r>
        <w:t>Bundesgericht, 2017-05-23, DE</w:t>
      </w:r>
    </w:p>
    <w:p>
      <w:r>
        <w:rPr>
          <w:b/>
        </w:rPr>
        <w:t xml:space="preserve">Quelle: </w:t>
      </w:r>
      <w:r>
        <w:t>https://mcp.opencaselaw.ch/entscheid/bger_2C_461_2017</w:t>
      </w:r>
    </w:p>
    <w:p>
      <w:r>
        <w:t>FR: TF 2C_461/2017 du 23 mai 2017</w:t>
      </w:r>
    </w:p>
    <w:p>
      <w:r>
        <w:t>IT: TF 2C_461/2017 del 23 maggio 2017</w:t>
      </w:r>
    </w:p>
    <w:p>
      <w:pPr>
        <w:pStyle w:val="Heading2"/>
      </w:pPr>
      <w:r>
        <w:t>Erwägungen</w:t>
      </w:r>
    </w:p>
    <w:p>
      <w:r>
        <w:rPr>
          <w:b/>
        </w:rPr>
        <w:t>E. 1</w:t>
      </w:r>
    </w:p>
    <w:p>
      <w:r>
        <w:t>A.A.________ (geb. 1982) und seine Ehefrau B.A.________ (geb. 1985) sowie ihre beiden Kinder C.A.________ und D.A.________ (geb. 2011 resp. 2012) reisten am 7. Januar 2013 unkontrolliert in die Schweiz ein und ersuchten um Asyl. Das Bundesamt für Migration (heute Staatssekretariat für Migration [SEM]) wies die Asylgesuche mit (rechtskräftiger) Verfügung vom 16. Juni 2014 ab und ordnete die Wegweisung an, schob indessen deren Vollzug infolge Unzumutbarkeit zugunsten einer vorläufigen Aufnahme auf. Am 7. November 2014 stellten die Betroffenen ein Gesuch um Anerkennung als Staatenlose. Mit Verfügung vom 6. März 2015 wies das SEM das Gesuch ab. Die dagegen erhobene Beschwerde wies das Bundesverwaltungsgericht mit Urteil vom 13. April 2017 ab, soweit es darauf eintrat.</w:t>
      </w:r>
    </w:p>
    <w:p>
      <w:r>
        <w:t>Mit an das Bundesverwaltungsgericht adressierter Eingabe vom 15. Mai 2017 äusserten sich A.A.________ und B.A.________ zu dessen Urteil. Das Schreiben endet mit dem Satz: "Ich wünsche mir, dass Sie diesen Entscheidung zurück ziehen oder mir einen Weg zeig wie ich mir verteidigen kann." Das Bundesverwaltungsgericht hat die Eingabe als Beschwerde betrachtet und sie am 18. Mai 2017 zuständigkeitshalber an das Bundesgericht weitergeleitet.</w:t>
      </w:r>
    </w:p>
    <w:p>
      <w:r>
        <w:t>Gestützt auf die Überweisung ist das vorliegende Verfahren 2C_461/2017 eröffnet worden.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Die Vorinstanz stellt die für die Anerkennung der Staatenlosigkeit massgeblichen Rechtsgrundlagen und die dabei geltenden Verfahrensgrundsätze in allgemeiner Weise dar (E. 5.1). Es beschreibt die Situation der Kurden in Syrien und ihre Aufteilung in drei Gruppen mit unterschiedlichem Rechtsstatus (E. 5.2 und 5.3). Es prüft anschliessend die Vorbringen der Beschwerdeführer im Lichte dieser Vorgaben und Hintergründe, um zum Schluss zu kommen, dass sie die Zugehörigkeit zu einer der beiden Gruppen, für welche Staatenlosigkeit anerkannt werden kann (Ajanib oder Maktumin), nicht bewiesen oder auch nur glaubhaft gemacht haben (E. 5.4 und 5.5).</w:t>
      </w:r>
    </w:p>
    <w:p>
      <w:r>
        <w:t>Die Beschwerdeführer begnügen sich damit zu erklären, wie wichtig für sie die Anerkennung als Staatenlose sei. Zudem schildern sie knapp den Ablauf von Befragungsdialogen. Damit lässt sich auch nicht ansatzweise aufzeigen, inwiefern das Bundesverwaltungsgericht den massgeblichen Sachverhalt (offensichtlich) unzutreffend ermittelt, in welcher Hinsicht es diesen unzutreffend gewürdigt hätte oder von falschen Prämissen ausgegangen wäre; die Verletzung schweizerischen Rechts wird nicht dargetan.</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2.3</w:t>
      </w:r>
    </w:p>
    <w:p>
      <w:r>
        <w:t>Ergänzend sind die Beschwerdeführer, namentlich unter Berücksichtigung des bundesgerichtlichen Urteils 2C_661/2015 vom 12. November 2015, darauf hinzuweisen, dass nicht erkennbar ist, inwiefern sich das Urteil des Bundesverwaltungsgerichts mit formgerechten Rügen erfolgversprechend anfechten liesse.</w:t>
      </w:r>
    </w:p>
    <w:p>
      <w:r>
        <w:rPr>
          <w:b/>
        </w:rPr>
        <w:t>E. 2.4</w:t>
      </w:r>
    </w:p>
    <w:p>
      <w:r>
        <w:t>Sollten die Beschwerdeführer mit ihrem Hinweis darauf, dass sie keinen Anwalt hätten, sinngemäss die Beigabe eines unentgeltlichen Rechtsbeistands beantragen wollen, könnte dem Begehren schon darum nicht entsprochen werden, weil die Beschwerde aussichtslos erschien ( Art. 64 BGG ). Im Übrigen könnte ein erst jetzt beizugebender Anwalt nicht mehr rechtzeitig innert der nicht erstreckbaren gesetzlichen Beschwerdefrist (Art. 100 Abs. 1 in Verbindung mit Art. 47 Abs. 1 BGG ) eine verbesserte Rechtsschrift nachreichen.</w:t>
      </w:r>
    </w:p>
    <w:p>
      <w:r>
        <w:rPr>
          <w:b/>
        </w:rPr>
        <w:t>E. 2.5</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