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460/2012 vom 2. November 2012</w:t>
      </w:r>
    </w:p>
    <w:p>
      <w:r>
        <w:t>Bundesgericht, 2012-11-02, DE</w:t>
      </w:r>
    </w:p>
    <w:p>
      <w:r>
        <w:rPr>
          <w:b/>
        </w:rPr>
        <w:t xml:space="preserve">Quelle: </w:t>
      </w:r>
      <w:r>
        <w:t>https://mcp.opencaselaw.ch/entscheid/bger_2C_460_2012</w:t>
      </w:r>
    </w:p>
    <w:p>
      <w:r>
        <w:t>FR: TF 2C 460/2012 du 2 novembre 2012</w:t>
      </w:r>
    </w:p>
    <w:p>
      <w:r>
        <w:t>IT: TF 2C 460/2012 del 2 novembre 2012</w:t>
      </w:r>
    </w:p>
    <w:p>
      <w:pPr>
        <w:pStyle w:val="Heading2"/>
      </w:pPr>
      <w:r>
        <w:t>Regeste</w:t>
      </w:r>
    </w:p>
    <w:p>
      <w:r>
        <w:t>Grundstückgewinnsteuer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 S. 417).</w:t>
      </w:r>
    </w:p>
    <w:p>
      <w:r>
        <w:rPr>
          <w:b/>
        </w:rPr>
        <w:t>E. 1.2</w:t>
      </w:r>
    </w:p>
    <w:p>
      <w:r>
        <w:t>Die Beschwerde richtet sich gegen einen letztinstanzlichen kantonalen Entscheid in einer Angelegenheit des öffentlichen Rechts. Eine Ausnahme im Sinne von Art. 83 BGG ist nicht gegeben. Die Beschwerde in öffentlich-rechtlichen Angelegenheiten ist daher zulässig (Art. 82 Abs. 1 lit. a und Art. 86 Abs. 1 lit. d in Verbindung mit Art. 73 Abs. 2 StHG ).</w:t>
      </w:r>
    </w:p>
    <w:p>
      <w:r>
        <w:rPr>
          <w:b/>
        </w:rPr>
        <w:t>E. 1.3</w:t>
      </w:r>
    </w:p>
    <w:p>
      <w:r>
        <w:t>Die zürcherischen Gemeinden sind zur Beschwerdeführung gemäss Art. 89 Abs. 2 lit. d BGG in grundstückgewinnsteuerrechtlichen Angelegenheiten legitimiert (Urteil 2C_776/2009 vom 25. Februar 2010 E. 1.2).</w:t>
      </w:r>
    </w:p>
    <w:p>
      <w:r>
        <w:rPr>
          <w:b/>
        </w:rPr>
        <w:t>E. 2.1</w:t>
      </w:r>
    </w:p>
    <w:p>
      <w:r>
        <w:t>Nach Art. 90 BGG steht die Beschwerde an das Bundesgericht offen gegen Entscheide, die das Verfahren abschliessen (Endentscheide). Angefochten ist hier jedoch ein Rückweisungsentscheid. Ein solcher gilt grundsätzlich als Zwischenentscheid, weil er das Verfahren nicht abschliesst ( BGE 134 II 124 E. 1.3 S. 127 f.; 133 V 477 E. 4 S. 480 ff.). Anders verhält es sich bloss, wenn der unteren Instanz, an welche die Sache zurückgewiesen wird, kein Entscheidungsspielraum mehr verbleibt und die Rückweisung nur noch der (rechnerischen) Umsetzung des oberinstanzlich Angeordneten dient; diesfalls handelt es sich um einen Endentscheid (Urteil 2C_846/2012 vom 13. September 2012 E. 2.1 mit Hinweisen). Ein solcher Fall liegt jedoch hier nicht vor, hat doch das Steuerrekursgericht ausdrücklich zusätzliche Abklärungen vorzunehmen und gestützt darauf neu zu entscheiden, weshalb kein End-, sondern ein Zwischenentscheid vorliegt.</w:t>
      </w:r>
    </w:p>
    <w:p>
      <w:r>
        <w:rPr>
          <w:b/>
        </w:rPr>
        <w:t>E. 2.2</w:t>
      </w:r>
    </w:p>
    <w:p>
      <w:r>
        <w:t>Da dieser Zwischenentscheid seinem Inhalt nach nicht unter Art. 92 BGG fällt, ist die dagegen gerichtete Beschwerde gemäss Art. 93 Abs. 1 BGG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beschwerdeführenden Partei, deren Vorhandensein darzulegen. Die Begründungspflicht nach Art. 42 Abs. 2 BGG besteht auch hinsichtlich von nicht evidenten Eintretensvoraussetzungen (Urteil 2C_846/2012 vom 13. September 2012 E. 2.2 mit Hinweisen).</w:t>
      </w:r>
    </w:p>
    <w:p>
      <w:r>
        <w:rPr>
          <w:b/>
        </w:rPr>
        <w:t>E. 2.2.1</w:t>
      </w:r>
    </w:p>
    <w:p>
      <w:r>
        <w:t>Ein solcher irreversibler Nachteil liegt unter anderem dann vor, wenn die beschwerdeführende Behörde einen neuen Entscheid fällen müsste, den sie in der Folge nicht weiterziehen könnte ( BGE 134 II 124 E. 1.3 i.f. S. 128). Vorliegend muss aber nicht die beschwerdeführende Behörde, sondern das Steuerrekursgericht einen neuen Entscheid fällen, den die Gemeinde ohne Weiteres wieder in vollem Umfang anfechten kann. Es liegt mithin hier kein nicht wieder gutzumachender Nachteil und damit kein ausnahmsweise anfechtbarer Zwischenentscheid im Sinne von Art. 93 Abs. 1 lit. a BGG vor.</w:t>
      </w:r>
    </w:p>
    <w:p>
      <w:r>
        <w:rPr>
          <w:b/>
        </w:rPr>
        <w:t>E. 2.2.2</w:t>
      </w:r>
    </w:p>
    <w:p>
      <w:r>
        <w:t>Die Beschwerdeführerin stützt sich freilich auf Art. 93 Abs. 1 lit. b BGG . Nach ihrer Auffassung kann durch einen sofortigen Entscheid ein bedeutender Aufwand an Zeit und Kosten für ein weitläufiges Beweisverfahren zum Nachweis eines rechtsmissbräuchlichen Vorgehens erspart werden. Es mag dahin gestellt bleiben, ob das Bundesgericht im Eintretensfall wirklich direkt einen Endentscheid fällen könnte. Die Beschwerdeführerin begründet indes nicht näher, weshalb dadurch ein bedeutender Aufwand an Zeit oder Kosten für ein weitläufiges Beweisverfahren erspart werden könnte. Die Ausnahmeklausel von Art. 93 Abs. 1 lit. b BGG ist nicht leichthin als erfüllt zu betrachten, sondern restriktiv zu handhaben, was die Anforderungen an die diesbezüglich der Partei obliegenden Begründungspflicht noch erhöht (Urteil 2C_846/2012 vom 13. September 2012 E. 2.1 mit Hinweisen). Deshalb sind auch die Voraussetzungen von Art. 93 Abs. 1 lit. b BGG hier nicht erfüllt.</w:t>
      </w:r>
    </w:p>
    <w:p>
      <w:r>
        <w:rPr>
          <w:b/>
        </w:rPr>
        <w:t>E. 3</w:t>
      </w:r>
    </w:p>
    <w:p>
      <w:r>
        <w:t>Nach dem Gesagten ist auf die Beschwerde nicht einzutreten. Dem Verfahrensausgang entsprechend sind die Kosten des bundesgerichtlichen Verfahrens der Beschwerdeführerin, die Vermögensinteressen verfolgt, aufzuerlegen (Art. 65 f. BBG). Diese hat den Beschwerdegegnern zudem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