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2C_45/2014 vom 28. März 2014</w:t>
      </w:r>
    </w:p>
    <w:p>
      <w:r>
        <w:t>Bundesgericht, 2014-03-28, DE</w:t>
      </w:r>
    </w:p>
    <w:p>
      <w:r>
        <w:rPr>
          <w:b/>
        </w:rPr>
        <w:t xml:space="preserve">Quelle: </w:t>
      </w:r>
      <w:r>
        <w:t>https://mcp.opencaselaw.ch/entscheid/bger_2C_45_2014</w:t>
      </w:r>
    </w:p>
    <w:p>
      <w:r>
        <w:t>FR: TF 2C_45/2014 du 28 mars 2014</w:t>
      </w:r>
    </w:p>
    <w:p>
      <w:r>
        <w:t>IT: TF 2C_45/2014 del 28 marzo 2014</w:t>
      </w:r>
    </w:p>
    <w:p>
      <w:pPr>
        <w:pStyle w:val="Heading2"/>
      </w:pPr>
      <w:r>
        <w:t>Erwägungen</w:t>
      </w:r>
    </w:p>
    <w:p>
      <w:r>
        <w:rPr>
          <w:b/>
        </w:rPr>
        <w:t>E. 1</w:t>
      </w:r>
    </w:p>
    <w:p>
      <w:r>
        <w:t>Die Beschwerde in öffentlich-rechtlichen Angelegenheiten ist zulässig ( Art. 82 lit. a, Art. 86 Abs. 1 lit. d und Art. 90 BGG ) und die Beschwerdeführerin ist dazu legitimiert ( Art. 89 Abs. 1 BGG ). Insbesondere hat die Beschwerdeführerin ein aktuelles und praktisches Interesse an der Beschwerde, da sie geltend macht, die Vorinstanz habe sich zu Unrecht nicht materiell mit ihrem Rechtsmittel befasst. Das Bundesgericht prüft frei die richtige Anwendung von Bundesrecht mit Einschluss des Verfassungsrechts ( Art. 95 lit. a BGG ), die Anwendung kantonalen Rechts aber nur darauf hin, ob dadurch Bundesrecht verletzt wurde, namentlich durch willkürliche Anwendung des kantonalen Rechts.</w:t>
      </w:r>
    </w:p>
    <w:p>
      <w:r>
        <w:rPr>
          <w:b/>
        </w:rPr>
        <w:t>E. 2.1</w:t>
      </w:r>
    </w:p>
    <w:p>
      <w:r>
        <w:t>Streitgegenstand vor der Vorinstanz war die Rechtmässigkeit des Bewilligungsentzugs in zeitlicher Hinsicht. Die Beschwerdeführerin hatte nicht gegen den Entzug opponiert, sondern bloss beantragt, die Bewilligungen seien nicht per sofort, sondern erst per 30. September 2013 zu entziehen. Mit Ablauf dieses Datums ist das Rechtsbegehren grundsätzlich gegenstandslos geworden. Die Vorinstanz hat deshalb in Anwendung von § 42 lit. a des Gesetzes [des Kantons Aargau] vom 4. Dezember 2007 über die Verwaltungsrechtspflege (VRG/AG; SAR 271.200) das Verfahren mangels eines aktuellen praktischen Rechtsschutzinteresses abgeschrieben.</w:t>
      </w:r>
    </w:p>
    <w:p>
      <w:r>
        <w:rPr>
          <w:b/>
        </w:rPr>
        <w:t>E. 2.2</w:t>
      </w:r>
    </w:p>
    <w:p>
      <w:r>
        <w:t>Die Beschwerdeführerin rügt eine willkürliche Anwendung von § 42 lit. a VRG/AG sowie eine Verletzung von Art. 29 Abs. 1 BV unter zwei Aspekten: Zum einen sei ihr durch den sofortigen Bewilligungsentzug die mit dem AWA vereinbarte Schonfrist bis zum 30. September 2013 überraschend verweigert worden. Zum anderen habe der Bewilligungsentzug die Beschwerdeführerin und ihre Organe der strafrechtlichen Verfolgung ausgesetzt, zumal es ihr unmöglich gewesen sei, die Geschäftstätigkeit inmitten der Hochsaison sofort zu beenden. Es sei ein Strafverfahren wegen Widerhandlung gegen Art. 39 Abs. 1 AVG im Gange; sie habe daher ein schutzwürdiges Interesse an der Beurteilung der Frage, ob ein allfälliger Personalverleih zwischen dem 5. Juni und dem 30. September 2013 ohne Bewilligung erfolgt sei.</w:t>
      </w:r>
    </w:p>
    <w:p>
      <w:r>
        <w:rPr>
          <w:b/>
        </w:rPr>
        <w:t>E. 2.3</w:t>
      </w:r>
    </w:p>
    <w:p>
      <w:r>
        <w:t>Ist das Streitobjekt während der Dauer des Verfahrens entfallen, schreibt das Gericht ein Verfahren als gegenstandslos geworden ab. Das gilt auch dann, wenn die Gegenstandslosigkeit darauf zurückzuführen ist, dass infolge Entzugs der aufschiebenden Wirkung einer Beschwerde der Streitgegenstand während des noch laufenden Rechtsmittelverfahrens entfallen ist (vgl. Urteil 2C_11/2012 vom 25. April 2012). Vorliegend hatten das AWA und der Regierungsrat einer allfälligen Beschwerde die aufschiebende Wirkung entzogen und das Verwaltungsgericht hat das Gesuch der Beschwerdeführerin um Wiederherstellung der aufschiebenden Wirkung abgewiesen. Damit wurde der für die Dauer des Verfahrens provisorisch massgebliche Rechtszustand festgelegt. Der Entscheid wäre im Rahmen der Art. 93 und 98 BGG beim Bundesgericht anfechtbar gewesen. Die Beschwerdeführerin hat auf eine Anfechtung verzichtet. Der Umstand allein, dass der sofortige Entzug der Bewilligung für die Beschwerdeführerin überraschend gewesen sei und einer (vom AWA bestrittenen) Vereinbarung widersprochen habe, begründet für sich allein noch kein praktisches und aktuelles Rechtsschutzinteresse an einer nachträglichen Beurteilung des sofortigen Entzugs.</w:t>
      </w:r>
    </w:p>
    <w:p>
      <w:r>
        <w:rPr>
          <w:b/>
        </w:rPr>
        <w:t>E. 2.4</w:t>
      </w:r>
    </w:p>
    <w:p>
      <w:r>
        <w:t>Fraglich ist, ob das drohende Strafverfahren daran etwas ändert:</w:t>
      </w:r>
    </w:p>
    <w:p>
      <w:r>
        <w:rPr>
          <w:b/>
        </w:rPr>
        <w:t>E. 2.4.1</w:t>
      </w:r>
    </w:p>
    <w:p>
      <w:r>
        <w:t>Die Vorinstanz hat dies verneint mit der Begründung, das Strafverfahren ändere nichts an der Tatsache, dass die beantragte Frist bis Ende September 2013 verstrichen sei; zudem falle die Frage eines strafbaren Verhaltens nicht in die Zuständigkeit des Verwaltungsgerichts, sondern des Strafrichters.</w:t>
      </w:r>
    </w:p>
    <w:p>
      <w:r>
        <w:rPr>
          <w:b/>
        </w:rPr>
        <w:t>E. 2.4.2</w:t>
      </w:r>
    </w:p>
    <w:p>
      <w:r>
        <w:t>Nach Art. 39 Abs. 1 lit. a AVG wird bestraft, wer ohne die erforderliche Bewilligung Arbeit vermittelt oder Personal verleiht. Das Fehlen einer Bewilligung ist Tatbestandsmerkmal des Delikts. Hat die Beschwerdeführerin in der Zeit vom 5. Juni bis 30. September 2013 Arbeit vermittelt oder Personal verliehen, so ist somit rechtserheblich, ob eine Bewilligung vorlag oder nicht. Das begründet aber noch kein Rechtsschutzinteresse an einer verwaltungsgerichtlichen Beurteilung: Nach ständiger Rechtsprechung kann nämlich ein Strafgericht auch verwaltungsrechtliche Vorfragen beurteilen, soweit die Verwaltungsjustiz darüber nicht entschieden hat ( BGE 129 IV 246 E. 2 S. 249 f.; Urteil 1P.730/2003 vom 22. März 2004 E. 2.3.1, in: SJ 2004 I S. 459). Ein schutzwürdiges Interesse an einer verwaltungsgerichtlichen Beurteilung kann deshalb nicht mit Hinblick auf ein allfälliges Strafverfahren begründet werden (Urteil 2C_596/2010 vom 11. März 2011 E. 3.2). Hinzu kommt, dass für die strafrechtliche Beurteilung wesentlich sein wird, ob eine allfällige Gutheissung der Beschwerde zur Folge gehabt hätte, dass dieser nachträglich festgestellte Rechtszustand auch auf die Dauer des Verfahrens zurückzubeziehen ist, während der infolge Entzugs der aufschiebenden Wirkung die bewilligungspflichtigen Handlungen vorläufig nicht ausgeübt werden durften (vgl. für die umgekehrte Konstellation: BGE 112 V 74 E. 2b S. 76). Diese strafrechtliche Frage hätte das Verwaltungsgericht in seinem Entscheid ohnehin nicht beantworten können.</w:t>
      </w:r>
    </w:p>
    <w:p>
      <w:r>
        <w:rPr>
          <w:b/>
        </w:rPr>
        <w:t>E. 2.5</w:t>
      </w:r>
    </w:p>
    <w:p>
      <w:r>
        <w:t>Die Vorinstanz hat somit weder Art. 29 Abs. 1 bzw. Art. 29a BV verletzt noch § 42 lit. a VRG/AG willkürlich angewendet, indem sie das Verfahren als gegenstandslos abgeschrieben hat.</w:t>
      </w:r>
    </w:p>
    <w:p>
      <w:r>
        <w:rPr>
          <w:b/>
        </w:rPr>
        <w:t>E. 3</w:t>
      </w:r>
    </w:p>
    <w:p>
      <w:r>
        <w:t>Die Beschwerde ist abzuweisen. Die Beschwerdeführerin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