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2C_457/2015 vom 27. Mai 2015</w:t>
      </w:r>
    </w:p>
    <w:p>
      <w:r>
        <w:t>Bundesgericht, 2015-05-27, FR</w:t>
      </w:r>
    </w:p>
    <w:p>
      <w:r>
        <w:rPr>
          <w:b/>
        </w:rPr>
        <w:t xml:space="preserve">Quelle: </w:t>
      </w:r>
      <w:r>
        <w:t>https://mcp.opencaselaw.ch/entscheid/bger_2C_457_2015</w:t>
      </w:r>
    </w:p>
    <w:p>
      <w:r>
        <w:t>FR: TF 2C_457/2015 du 27 mai 2015</w:t>
      </w:r>
    </w:p>
    <w:p>
      <w:r>
        <w:t>IT: TF 2C_457/2015 del 27 maggio 2015</w:t>
      </w:r>
    </w:p>
    <w:p>
      <w:pPr>
        <w:pStyle w:val="Heading2"/>
      </w:pPr>
      <w:r>
        <w:t>Erwägungen</w:t>
      </w:r>
    </w:p>
    <w:p>
      <w:r>
        <w:rPr>
          <w:b/>
        </w:rPr>
        <w:t>E. 1</w:t>
      </w:r>
    </w:p>
    <w:p>
      <w:r>
        <w:t>Par arrêt du 5 mai 2015, le Tribunal cantonal du canton de Neuchâtel a rejeté le recours que X.________ avait déposé contre la décision du Département de l'éducation et de la famille du canton de Neuchâtel du 26 janvier 2015 en matière d'échec à l'obtention du certificat fédéral de capacité d'agent d'exploitation. L'admission d'un vice procédure par le Département ne pouvait pas conduire à l'augmentation de la note attribuée à une épreuve et considérer ainsi l'examen comme réussi. C'était par conséquent à juste titre que le Département avait autorisé l'intéressé à se présenter une nouvelle fois, sans frais, à l'examen de fin d'apprentissage.</w:t>
      </w:r>
    </w:p>
    <w:p>
      <w:r>
        <w:rPr>
          <w:b/>
        </w:rPr>
        <w:t>E. 2</w:t>
      </w:r>
    </w:p>
    <w:p>
      <w:r>
        <w:t>Par mémoire intitulé "recours en droit public" du 18 mai 2015, X.________ demande au Tribunal fédéral, au moins implicitement, d'annuler l'arrêt rendu le 5 mai 2015 par le Tribunal cantonal du canton de Neuchâtel et de recalculer les procès-verbaux, ses notes et sa moyen-ne finale. Il se plaint de ce que le Tribunal cantonal n'a pas recalculé les points. A son avis, les sous-branches de la sécurité au travail dans les branches annexes devaient aussi être mises en note maximale. Il fait valoir que les procès-verbaux de l'examen sont facilement vérifiables et souhaite qu'ils soient examinés par le Tribunal fédéral.</w:t>
      </w:r>
    </w:p>
    <w:p>
      <w:r>
        <w:rPr>
          <w:b/>
        </w:rPr>
        <w:t>E. 3.1</w:t>
      </w:r>
    </w:p>
    <w:p>
      <w:r>
        <w:t>En vertu de l' art. 83 let . t de la loi fédérale du 17 juin 2005 sur le Tribunal fédéral (LTF; RS 173.110),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2C_422/2013 du 8 juillet 2013 consid. 1.1.1; 2C_40/2010 du 28 mai 2010 consid. 1.1).</w:t>
      </w:r>
    </w:p>
    <w:p>
      <w:r>
        <w:t>En l'espèce, l'arrêt attaqué porte sur le refus de recalculer les notes de l'examen et d'accorder le certificat de capacité au recourant ; il s'agit bien de l'évaluation des capacités de ce dernier, de sorte que le recours en matière de droit public est irrecevable.</w:t>
      </w:r>
    </w:p>
    <w:p>
      <w:r>
        <w:rPr>
          <w:b/>
        </w:rPr>
        <w:t>E. 3.2</w:t>
      </w:r>
    </w:p>
    <w:p>
      <w:r>
        <w:t>Seule est donc ouverte la voie du recours constitutionnel subsidiaire ( art. 113 LTF a contrario). L'intitulé erroné du recours ne nuit pas à son auteur, pour autant que les conditions de recevabilité du recours qui aurait dû être interjeté soient réunies et que le recours soit convertible dans son ensemble.</w:t>
      </w:r>
    </w:p>
    <w:p>
      <w:r>
        <w:rPr>
          <w:b/>
        </w:rPr>
        <w:t>E. 4</w:t>
      </w:r>
    </w:p>
    <w:p>
      <w:r>
        <w:t>Le recours constitutionnel subsidiaire ne peut être formé que pour violation des droits constitutionnels ( art. 116 LTF ). En vertu de l' art. 106 al. 2 LTF , applicable par renvoi de l' art. 117 LTF , les griefs de violation des droits fondamentaux doivent être invoqués et motivés de façon détaillée en précisant en quoi, concrètement, consiste la violation, sous peine d'irrecevabilité ( ATF 138 I 232 consid. 3 p. 237; 136 II 304 consid. 2.5 p. 314).</w:t>
      </w:r>
    </w:p>
    <w:p>
      <w:r>
        <w:t>Le recourant n'invoque la violation d'aucun droit constitutionnel à l'appui de ses conclusions, de sorte qu'à défaut de motivation conforme aux exigences accrues de l' art. 106 al. 2 LTF , son recours considéré comme recours constitutionnel subsidiaire est irrecevable.</w:t>
      </w:r>
    </w:p>
    <w:p>
      <w:r>
        <w:rPr>
          <w:b/>
        </w:rPr>
        <w:t>E. 5</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