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456/2014 vom 4. Juni 2015</w:t>
      </w:r>
    </w:p>
    <w:p>
      <w:r>
        <w:t>Bundesgericht, 2015-06-04, DE</w:t>
      </w:r>
    </w:p>
    <w:p>
      <w:r>
        <w:rPr>
          <w:b/>
        </w:rPr>
        <w:t xml:space="preserve">Quelle: </w:t>
      </w:r>
      <w:r>
        <w:t>https://mcp.opencaselaw.ch/entscheid/bger_2C_456_2014</w:t>
      </w:r>
    </w:p>
    <w:p>
      <w:r>
        <w:t>FR: TF 2C 456/2014 du 4 juin 2015</w:t>
      </w:r>
    </w:p>
    <w:p>
      <w:r>
        <w:t>IT: TF 2C 456/2014 del 4 giugno 2015</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hatte bereits vor der Vorinstanz Ansprüche aus Art. 50 AuG (SR 142.20) geltend gemacht, welche von dieser im Grundsatz anerkannt worden sind. Streitfrage vor dem Bundesgericht ist das Erlöschen dieser Ansprüche (vgl. Art. 51 Abs. 2 lit. b in Verbindung mit Art. 62 lit. e AuG). Die Beschwerde ist damit zulässig und der Beschwerdeführer hierzu legitimiert ( Art. 89 lit. a BGG ); auf das Rechtsmittel ist einzutreten.</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Offensichtlich unrichtig ist eine Sachverhaltsfeststellung namentlich dann, wenn die Vorinstanz erhebliche Beweise übersieht oder solche willkürlich ausser Acht lässt ( BGE 129 I 8 E. 2.1 S. 9; Urteil 2C_630/2014 vom 24. Oktober 2014 E. 3.2).</w:t>
      </w:r>
    </w:p>
    <w:p>
      <w:r>
        <w:rPr>
          <w:b/>
        </w:rPr>
        <w:t>E. 2</w:t>
      </w:r>
    </w:p>
    <w:p>
      <w:r>
        <w:t>Der Beschwerdeführer sieht sich zunächst in seinem "Beweisführungsrecht" verletzt (Beschwerde S. 7 f.) und erhebt in diesem Zusammenhang verschiedene Rügen, wonach die Vorinstanz den Sachverhalt offensichtlich unrichtig festgestellt haben soll:</w:t>
      </w:r>
    </w:p>
    <w:p>
      <w:r>
        <w:rPr>
          <w:b/>
        </w:rPr>
        <w:t>E. 2.1</w:t>
      </w:r>
    </w:p>
    <w:p>
      <w:r>
        <w:t>Im Umstand, dass die Vorinstanz entgegen einem ausdrücklichen Antrag die Akten der Invalidenversicherung nicht beigezogen hat, liegt weder eine Verletzung des Anspruchs auf rechtliches Gehör ( Art. 29 Abs. 2 BV ) noch eine offensichtlich unrichtige Sachverhaltsfeststellung: Der Beschwerdeführer stellt nicht in Abrede, dass die Eidgenössische Invalidenversicherung (IV) sein Leistungsbegehren abgewiesen hat und die Veweigerung dieser Leistungen vom kantonalen Versicherungsgericht geschützt worden ist (vgl. Rz. 8 der Beschwerdeschrift); die Aufnahme einer Erwerbstätigkeit ist ihm daher zuzumuten. Ob diese zumutbare Erwerbstätigkeit im Rahmen einer Vollzeitstelle mit reduziertem Verdienst oder in einer Teilzeitstelle auszuüben wäre, ist nicht ausschlaggebend.</w:t>
      </w:r>
    </w:p>
    <w:p>
      <w:r>
        <w:rPr>
          <w:b/>
        </w:rPr>
        <w:t>E. 2.2</w:t>
      </w:r>
    </w:p>
    <w:p>
      <w:r>
        <w:t>Die Rüge, wonach die Vorinstanz (einzig) aus einer nicht unterzeichneten Aktennotiz des Migrationsdienstes abgeleitet habe, die Integration des Beschwerdeführers in Serbien sei möglich und zumutbar (Rz. 18 der Beschwerdeschrift), ist sodann unbegründet. Dass eine Aktennotiz der zuständigen Verwaltungsbehörde nicht unterzeichnet ist, begründet für sich allein noch keine willkürliche Sachverhaltsfeststellung. Ausserdem ergibt sich aus dem angefochtenen Entscheid (E. 4), dass die Vorinstanz alle wesentlichen Umstände, die den Beschwerdeführer in der Heimat erwarten (u.a. dort lebende nahe Familienangehörige, gesicherte BVG-Rentenauszahlung) berücksichtigt hat (vgl. hinten E. 3.4).</w:t>
      </w:r>
    </w:p>
    <w:p>
      <w:r>
        <w:rPr>
          <w:b/>
        </w:rPr>
        <w:t>E. 2.3</w:t>
      </w:r>
    </w:p>
    <w:p>
      <w:r>
        <w:t>Auch der Vorwurf, die Vorinstanz habe willkürlich festgestellt, der in Serbien lebende Sohn sei in der Lage, für seinen Vater zu sorgen, ist unbegründet. Die vom Verwaltungsgericht als zumutbar erachtete Wohnsitznahme bei Familienangehörigen bedeutet nicht, dass die Vorinstanz von einer möglichen finanziellen Unterstützung des Sohnes an den Vater ausgegangen wäre. Das Verwaltungsgericht hat nach dem Gesagten weder bei der Beweisabnahme gegen den Gehörsanspruch des Beschwerdeführers verstossen noch den Sachverhalt offensichtlich unrichtig festgestellt. Dieser ist damit für das Bundesgericht verbindlich (vorne E. 1.2).</w:t>
      </w:r>
    </w:p>
    <w:p>
      <w:r>
        <w:rPr>
          <w:b/>
        </w:rPr>
        <w:t>E. 3.1</w:t>
      </w:r>
    </w:p>
    <w:p>
      <w:r>
        <w:t>Ausländische Ehegatten von Personen mit Niederlassungsbewilligung haben Anspruch auf Erteilung und Verlängerung der Aufenthaltsbewilligung, wenn sie mit diesen zusammenwohnen (Art. 43 Abs. 1 AuG). Gemäss Art. 50 Abs. 1 AuG besteht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wenn wichtige persönliche Gründe einen weiteren Aufenthalt in der Schweiz erforderlich machen (lit. b), so genannter "nachehelicher Härtefall" (vgl. dazu BGE 137 II 345 ). Die niederlassungsberechtigte Ehefrau des Beschwerdeführers ist verstorben, weshalb sich in der Tat die Frage eines nachehelichen Härtefalls stellt. Die Vorinstanz ging aber bereits selber davon aus, dass die Voraussetzungen dazu vorliegend an sich erfüllt sind ("mit dem Tod der Ehefrau liegt grundsätzlich ein wichtiger persönlicher Grund im Sinn von Art. 50 Abs. 1 Bst. b AuG vor", E. 2. 5 des angefochtenen Entscheides, am Ende); die Ausführungen des Beschwerdeführers, aus welchen Gründen er einen Anwesenheitsanspruch aus Art. 50 AuG ableiten könne, gehen daher an der Sache vorbei und bedürfen keiner weiteren Prüfung. Zu entscheiden ist einzig, ob die Vorinstanz zu Recht auf ein Erlöschen dieses Anspruchs erkennen durfte: Die Ansprüche nach Artikel 50 erlöschen u.a. nämlich dann, wenn Widerrufsgründe nach Artikel 62 vorliegen (Art. 51 Abs. 2 lit. b AuG). Nach Art. 62 lit. e AuG kann die zuständige Behörde die Bewilligung widerrufen, wenn die ausländische Person oder eine Person, für die sie zu sorgen hat, auf Sozialhilfe angewiesen ist; dieser Widerrufs- bzw. Verweigerungsgrund gilt auch für die auf Art. 50 AuG gestützten Aufenthaltsrechte (Urteile 2C_406/2012 vom 22. Oktober 2012 E. 3.4; 2C_150/2011 vom 5. Juli 2011 E. 2.6; 2C_422/2010 vom 16. September 2010 E. 2.1.1). Allerdings ist auch im Rahmen von Art. 62 lit. e AuG der Grundsatz der Verhältnismässigkeit zu beachten, wobei vor allem das Verschulden an der Situation und die bisherige Verweildauer im Lande zu berücksichtigen sind (BBl 2002 3809; Amtl. Bull 2004 N 1088 f. [NR Müller; BR Blocher; Kommissionssprecherin Leuthard]).</w:t>
      </w:r>
    </w:p>
    <w:p>
      <w:r>
        <w:rPr>
          <w:b/>
        </w:rPr>
        <w:t>E. 3.2</w:t>
      </w:r>
    </w:p>
    <w:p>
      <w:r>
        <w:t>Beim Widerruf bzw.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(vgl. Urteile 2C_42/2011 vom 23. August 2012 E. 5.4; 2C_685/2010 vom 30. Mai 2011 E. 2.3.1 und E. 2.3.2).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BGE 122 II 1 E. 3c S. 8; Urteil 2C_780/2013 vom 2. Mai 2014 E. 3.3.1).</w:t>
      </w:r>
    </w:p>
    <w:p>
      <w:r>
        <w:rPr>
          <w:b/>
        </w:rPr>
        <w:t>E. 3.3</w:t>
      </w:r>
    </w:p>
    <w:p>
      <w:r>
        <w:t>Nach den verbindlichen Feststellungen der Vorinstanz beliefen sich die Unterstützungsleistungen an den Beschwerdeführer allein bis im Mai 2013 (Entscheid der Polizei- und Militärdirektion) auf über Fr. 138'000.-- . Die Erheblichkeitsschwelle, welche das Bundesgericht mit seiner Rechtsprechung zu Art. 63 Abs. 1 lit. c AuG entwickelt hat (vgl. Urteile 2C_502/2011 vom 10. April 2012 E. 4.1; 2C_79/2011 vom 8. Dezember 2011 E. 3.3; 2C_672/2008 vom 9. April 2009 E. 3.3) und die umso mehr im Rahmen von Art. 62 lit. e AuG beachtlich ist (Urteil 2C_1228/2012 vom 20. Juni 2013 E. 5.2), wird klarerweise erreicht, wobei - anders als der Beschwerdeführer anzunehmen scheint (vgl. Rz. 35 der Beschwerdeschrift) - vergangene und künftige Bezüge gesamthaft betrachtet werden müssen und nicht allein auf die zu erwartenden rund Fr. 56'000.-- der nächsten drei Jahre abgestellt werden kann. Das Argument des Beschwerdeführers, er habe in absehbarer Zeit Anspruch auf Leistungen der AHV (zuzüglich Ergänzungsleistungen), was seine Sozialhilfeabhängigkeit beenden werde, verfängt nicht: Entgegen seiner Darstellung hat die Vorinstanz nicht verbindlich festgestellt, er werde im Alter von 63 Jahren solche Leistungen erhalten. Selbst wenn dies zutreffen sollte, verbleibt noch eine relativ lange Zeit, während der mit hoher Wahrscheinlichkeit mit weiterer Sozialhilfeabhängigkeit zu rechnen ist. Wenn der Beschwerdeführer bis heute keine Arbeitsstelle (mehr) fand, ist die Wahrscheinlichkeit, dass er nun noch eine findet, sehr gering. Jedenfalls kann nicht damit gerechnet werden, dass er in Zukunft für seinen Lebensunterhalt in der Schweiz selber aufkommen kann. Damit ist der Erlöschensgrund von Art. 51 Abs. 2 lit. b in Verbindung mit Art. 62 lit. e AuG erfüllt. Wie weit die Sozialhilfeabhängigkeit verschuldet ist, muss im Rahmen der Verhältnismässigkeitsprüfung untersucht werden (vorne E. 3.1 und Urteil 2C_1058/2013 vom 11. September 2014 E. 2.4).</w:t>
      </w:r>
    </w:p>
    <w:p>
      <w:r>
        <w:rPr>
          <w:b/>
        </w:rPr>
        <w:t>E. 3.4</w:t>
      </w:r>
    </w:p>
    <w:p>
      <w:r>
        <w:t>Die Vorinstanz hat hiezu erwogen, der Beschwerdeführer arbeite zwar motiviert im Beschäftigungsprogramm mit. Trotzdem sei den bereits länger dauernden Integrationsmassnahmen kein Erfolg beschieden gewesen, obschon dem Beschwerdeführer eine angepasste Teilzeitarbeit zugemutet werden könne. Deshalb sei er für die fortgesetzte Sozialhilfeabhängigkeit zumindest teilweise verantwortlich. Andererseits lebe der Beschwerdeführer erst seit dem 45. Lebensjahr ununterbrochen in der Schweiz und habe damit den weitaus grössten Teil seines Lebens in der Heimat verbracht, mit deren Sprache und Kultur er nach wie vor vertraut sei. Ausserdem lebten nahe Familienangehörige dort und die BVG-Rente von monatlich Fr. 606.-- werde ihm auch nach Serbien überwiesen. Sein Lebensunterhalt sei durch die Witwerrente daher gesichert und er befinde sich auch nicht in einer medizinischen Notlage, weshalb die Nichtverlängerung der Aufenthaltsbewilligung verhältnismässig erscheine. Die vorinstanzliche Verhältnismässigkeitsprüfung ist nicht rechtswidrig: Namentlich hat der Beschwerdeführer viel länger in der Heimat als in der Schweiz gelebt; er wird sich in Serbien wieder integrieren können. Sodann hat das Verwaltungsgericht nicht darauf abgestellt, dass der Sohn den Vater wirtschaftlich unterstützen müsste, sondern darauf, dass der Betrag der Witwerrente dem Beschwerdeführer in der Heimat die Erzielung eines durchschnittlichen Einkommens ermöglicht (E. 4.3 des angefochtenen Entscheides). Von aktuter Armut ist er, der im Übrigen auf ein gewisses soziales Netz zurückgreifen kann, jedenfalls nicht bedroht. Zu Recht hat die Vorinstanz auch eine Verletzung von Art. 8 EMRK verneint. Besonders intensive, über eine normale Integration hinausgehende private Bindungen gesellschaftlicher oder beruflicher Natur, die dem Beschwerdeführer allenfalls einen Anwesenheitsanspruch aus der Garantie auf Achtung des Privatlebens verschaffen könnten (dazu BGE 130 II 281 ), sind weder dargetan noch ersichtlich. Dass der Beschwerdeführer hier einige Kontakte pflegt, begründet noch nicht Unverhältnismässigkeit, auch nicht die geltend gemachten gesundheitlichen Probleme (vgl. etwa das Urteil 2C_721/2014 vom 15. Januar 2015 E. 3.2). Schliesslich sind die Hinweise auf die Urteile des EGMR Hasanbasic gegen die Schweiz vom 11. Juni 2013 [52166/09] sowie Udeh gegen die Schweiz vom 16. April 2013 [12020/09] nicht einschlägig: Dort ging es um Kontakte der betreffenden Ausländer zu ihren in der Schweiz lebenden Familienangehörigen, was hier gerade nicht zur Diskussion steht. Der Europäische Gerichtshof für Menschenrechte anerkennt im Übrigen ausdrücklich, dass Sozialhilfeabhängigkeit im Rahmen aufenthaltsbeendender Massnahmen berücksichtigt werden darf (zit. Urteil Hasanbasic, § 59, vgl. dazu auch das Urteil des Bundesgerichts 2C_877/2013 vom 3. Juli 2014 E. 3.2.2 mit Hinweisen).</w:t>
      </w:r>
    </w:p>
    <w:p>
      <w:r>
        <w:rPr>
          <w:b/>
        </w:rPr>
        <w:t>E. 4</w:t>
      </w:r>
    </w:p>
    <w:p>
      <w:r>
        <w:t>Die Beschwerde erweist sich als unbegründet. Der Beschwerdeführer trägt grundsätzlich die Kosten des bundesgerichtlichen Verfahrens ( Art. 66 Abs. 1 BGG ). Da der angefochtene Entscheid vollumfänglich der Rechtslage und der Praxis des Bundesgerichts entspricht, muss die Beschwerde als aussichtslos beurteilt und das Gesuch um unentgeltliche Rechtspflege und Verbeiständung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