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454/2018 vom 25. März 2019</w:t>
      </w:r>
    </w:p>
    <w:p>
      <w:r>
        <w:t>Bundesgericht, 2019-03-25, DE</w:t>
      </w:r>
    </w:p>
    <w:p>
      <w:r>
        <w:rPr>
          <w:b/>
        </w:rPr>
        <w:t xml:space="preserve">Quelle: </w:t>
      </w:r>
      <w:r>
        <w:t>https://mcp.opencaselaw.ch/entscheid/bger_2C_454_2018</w:t>
      </w:r>
    </w:p>
    <w:p>
      <w:r>
        <w:t>FR: TF 2C 454/2018 du 25 mars 2019</w:t>
      </w:r>
    </w:p>
    <w:p>
      <w:r>
        <w:t>IT: TF 2C 454/2018 del 25 marzo 2019</w:t>
      </w:r>
    </w:p>
    <w:p>
      <w:pPr>
        <w:pStyle w:val="Heading2"/>
      </w:pPr>
      <w:r>
        <w:t>Regeste</w:t>
      </w:r>
    </w:p>
    <w:p>
      <w:r>
        <w:t>Verrechnungssteuer 2005-2008 (Erhebung) | Öffentliche Finanzen &amp; Abgaberecht</w:t>
      </w:r>
    </w:p>
    <w:p>
      <w:pPr>
        <w:pStyle w:val="Heading2"/>
      </w:pPr>
      <w:r>
        <w:t>Erwägungen</w:t>
      </w:r>
    </w:p>
    <w:p>
      <w:r>
        <w:rPr>
          <w:b/>
        </w:rPr>
        <w:t>E. 1</w:t>
      </w:r>
    </w:p>
    <w:p>
      <w:r>
        <w:t>Angefochten ist ein Urteil des Bundesverwaltungsgerichts in einem Verrechnungssteuerstreit, mithin in einer Angelegenheit des öffentlichen Rechts (Art. 82 lit. a, Art. 86 Abs. 1 lit. a). Die Beschwerde in öffentlich-rechtlichen Angelegenheiten ist an sich zulässig, zumal keine Ausschlussgründe nach Art. 83 BGG vorliegen. Auf die frist- und formgerecht eingereichte Beschwerde ( Art. 42 und Art. 100 Abs. 1 BGG ) der nach Art. 89 Abs. 1 BGG legitimierten Beschwerdeführerin ist grundsätzlich einzutreten.</w:t>
      </w:r>
    </w:p>
    <w:p>
      <w:r>
        <w:rPr>
          <w:b/>
        </w:rPr>
        <w:t>E. 2.1</w:t>
      </w:r>
    </w:p>
    <w:p>
      <w:r>
        <w:t>Das Bundesverwaltungsgericht hat den Einspracheentscheid der Eidgenössischen Steuerverwaltung (teilweise) aufgehoben und die Sache zur Fällung eines neuen Entscheids im Sinne der Erwägungen an die Veranlagungsbehörde zurückgewiesen.</w:t>
      </w:r>
    </w:p>
    <w:p>
      <w:r>
        <w:rPr>
          <w:b/>
        </w:rPr>
        <w:t>E. 2.1.1</w:t>
      </w:r>
    </w:p>
    <w:p>
      <w:r>
        <w:t>Gegen Rückweisungsentscheide kann grundsätzlich nur unter den Voraussetzungen von Art. 92 oder Art. 93 BGG beim Bundesgericht Beschwerde erhoben werden, selbst wenn damit über materielle Teilaspekte der Streitsache entschieden wird ( BGE 134 II 124 E. 1.3; 133 V 477 E. 4.2 und E. 4.3 S. 481 f.). Sie stellen in der Regel Zwischenentscheide dar,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 2C_469/2013 vom 22. Mai 2013 E. 2.2). Ausgehend vom Zweck von Art. 93 BGG stellt ein Rückweisungsentscheid nur dann keinen Zwischenentscheid dar, wenn ausgeschlossen werden kann, dass das Bundesgericht sich ein zweites Mal mit der Streitsache befassen muss (Urteil 2C_493/2014, 2C_494/2014 vom 27. Mai 2014 E. 2.2).</w:t>
      </w:r>
    </w:p>
    <w:p>
      <w:r>
        <w:rPr>
          <w:b/>
        </w:rPr>
        <w:t>E. 2.1.2</w:t>
      </w:r>
    </w:p>
    <w:p>
      <w:r>
        <w:t>Entgegen der Auffassung der Beschwerdeführerin handelt es sich hier nicht um einen Endentscheid, der das Verfahren abschliessen und bis auf rechnerische Detailfragen der Veranlagungsbehörde keinerlei Ermessensspielraum beim Nachvollzug des durch das Bundesverwaltungsgericht Angeordneten mehr belassen würde. In beiden massgeblichen Streitfragen hat die Eidgenössische Steuerverwaltung zuerst Sachverhaltsabklärungen und dann auf dieser Grundlage eine neue rechtliche Beurteilung vorzunehmen. Das entspricht nicht einer bloss rechnerischen Umsetzung oder einer durch die Vorinstanz bereits vollumfänglich bzw. weitestgehend vorbestimmten Neubeurteilung. Unter den gegebenen Umständen stellt der Rückweisungsentscheid einen Zwischenentscheid dar.</w:t>
      </w:r>
    </w:p>
    <w:p>
      <w:r>
        <w:rPr>
          <w:b/>
        </w:rPr>
        <w:t>E. 2.2</w:t>
      </w:r>
    </w:p>
    <w:p>
      <w:r>
        <w:t>Gegen selbständig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w:t>
      </w:r>
    </w:p>
    <w:p>
      <w:r>
        <w:rPr>
          <w:b/>
        </w:rPr>
        <w:t>E. 2.2.1</w:t>
      </w:r>
    </w:p>
    <w:p>
      <w:r>
        <w:t>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S. 263), zumal die Parteien keine Rechte verlieren, wenn sie einen Zwischenentscheid im Sinne von Art. 93 BGG nicht selbständig anfechten können; sie können sich immer noch mit Beschwerde gegen den Endentscheid beim Bundesgericht zur Wehr setzen ( Art. 93 Abs. 3 BGG ; BGE 133 IV 288 E. 3.2).</w:t>
      </w:r>
    </w:p>
    <w:p>
      <w:r>
        <w:rPr>
          <w:b/>
        </w:rPr>
        <w:t>E. 2.2.2</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 BGE 137 V 314 E. 2.2.1 S. 317, III 382 E. 1.2.1 S. 382; 136 II 165 E. 1.2.1 S. 170 ; 135 I 261 E. 1.2 S. 263; 135 II 30 E. 1.3.4 S. 35 f.; 134 III 188 E. 2.1 S. 190; 133 III 629 E. 2.3.1 S. 632; je mit Hinweisen). Die blosse Möglichkeit eines nicht wieder gutzumachenden Nachteils rechtlicher Natur genügt ( BGE 137 III 382 E. 1.2.1 S. 382; 134 III 188 E. 2.1 S. 191 mit Hinweis). Dagegen reichen rein tatsächliche Nachteile wie die Verfahrensverlängerung oder -verteuerung nicht aus ( BGE 137 III 382 E. 1.2.1 S. 382; 134 III 188 E. 2.2 S. 191; 133 III 629 E. 2.3.1 S. 632). Insofern ist das bundesgerichtliche Verständnis zum "nicht wieder gutzumachenden Nachteil" enger als dasjenige der Vorinstanz (vgl. Urteil 8C_724/2014 vom 29. Mai 2015 E. 5.2).</w:t>
      </w:r>
    </w:p>
    <w:p>
      <w:r>
        <w:rPr>
          <w:b/>
        </w:rPr>
        <w:t>E. 2.2.3</w:t>
      </w:r>
    </w:p>
    <w:p>
      <w:r>
        <w:t>Ein Rückweisungsentscheid, mit dem eine Sache zu neuer Abklärung und Entscheidung an die Vorinstanz zurückgewiesen wird, bewirkt in der Regel keinen nicht wieder gutzumachenden Nachteil, sondern führt bloss zu einer Verlängerung des Verfahrens ( BGE 137 III 380 E. 1.2.1; 136 II 165 E. 1.2.1 S. 170; 133 V 477 E. 5.2.1 S. 483). Das ist auch hier der Fall. Die Beschwerdeführerin wird sich im Einklang mit Art. 93 Abs. 3 BGG immer noch mit Beschwerde gegen den Endentscheid beim Bundesgericht zur Wehr setzen können.</w:t>
      </w:r>
    </w:p>
    <w:p>
      <w:r>
        <w:rPr>
          <w:b/>
        </w:rPr>
        <w:t>E. 2.3</w:t>
      </w:r>
    </w:p>
    <w:p>
      <w:r>
        <w:t>Gemäss Art. 91 lit. a BGG ist die Beschwerde zulässig gegen einen Entscheid, der nur einen Teil der gestellten Begehren behandelt, wenn diese Begehren unabhängig von den anderen beurteilt werden können. In der vorinstanzlichen Rückweisung an die Veranlagungsbehörde nicht mit eingeschlossen ist hier Zweierlei, soweit diesbezüglich nicht bereits mit dem Teilurteil vom 22. Juni 2017 verfahrensabschliessend befunden wurde: Einerseits hat das Bundesverwaltungsgericht die Verwertung des Untersuchungsberichts der ASU und bestimmter Einvernahmen geschützt (vgl. E. 6 des angefochtenen Urteils), andererseits hat es die Anträge auf Edition weiterer Unterlagen in antizipierter Beweiswürdigung abgewiesen (vgl. ebenda E. 13). Hinsichtlich beider Punkte ist nicht ersichtlich, wie sie bereits jetzt und unabhängig von den zu neuer Sachverhaltsabklärung an die Veranlagungsbehörde zurückgewiesenen Aspekten Anlass zu einer bundesgerichtlichen Beurteilung geben könnten. Das schliesst die Zulässigkeit der Beschwerde auch insoweit aus.</w:t>
      </w:r>
    </w:p>
    <w:p>
      <w:r>
        <w:rPr>
          <w:b/>
        </w:rPr>
        <w:t>E. 2.4</w:t>
      </w:r>
    </w:p>
    <w:p>
      <w:r>
        <w:t>Gemäss Art. 93 Abs. 1 lit. b BGG ist die Beschwerde gegen andere selbständig eröffnete Vor- und Zwischenentscheide zuständig, wenn die Gutheissung der Beschwerde sofort einen Endentscheid herbeiführen und damit einen bedeutenden Aufwand an Zeit oder Kosten für ein weitläufiges Beweisverfahren ersparen würde. Auch diese Möglichkeit fällt vorliegend ausser Betracht.</w:t>
      </w:r>
    </w:p>
    <w:p>
      <w:r>
        <w:rPr>
          <w:b/>
        </w:rPr>
        <w:t>E. 3.1</w:t>
      </w:r>
    </w:p>
    <w:p>
      <w:r>
        <w:t>Nach dem Gesagten kann auf die Beschwerde nicht eingetreten werden.</w:t>
      </w:r>
    </w:p>
    <w:p>
      <w:r>
        <w:rPr>
          <w:b/>
        </w:rPr>
        <w:t>E. 3.2</w:t>
      </w:r>
    </w:p>
    <w:p>
      <w:r>
        <w:t>Bei diesem Ausgang des Verfahrens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