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2C_453/2021 vom 1. Juni 2021</w:t>
      </w:r>
    </w:p>
    <w:p>
      <w:r>
        <w:t>Bundesgericht, 2021-06-01, IT</w:t>
      </w:r>
    </w:p>
    <w:p>
      <w:r>
        <w:rPr>
          <w:b/>
        </w:rPr>
        <w:t xml:space="preserve">Quelle: </w:t>
      </w:r>
      <w:r>
        <w:t>https://mcp.opencaselaw.ch/entscheid/bger_2C_453_2021</w:t>
      </w:r>
    </w:p>
    <w:p>
      <w:r>
        <w:t>FR: TF 2C_453/2021 du 1 juin 2021</w:t>
      </w:r>
    </w:p>
    <w:p>
      <w:r>
        <w:t>IT: TF 2C_453/2021 del 1 giugno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sottoposti. ( DTF 145 II 168 consid. 1 e richiamo).</w:t>
      </w:r>
    </w:p>
    <w:p>
      <w:r>
        <w:rPr>
          <w:b/>
        </w:rPr>
        <w:t>E. 1.3</w:t>
      </w:r>
    </w:p>
    <w:p>
      <w:r>
        <w:t>Il ricorso concerne una causa di diritto pubblico - cioè la pronuncia di una sanzione amministrativa basata sulla disattenzione di alcuni disposti della LEPICOSC e del relativo regolamento di applicazione (RLEPICOSC) - che non ricade sotto nessuna delle eccezioni previste dall' art. 83 LTF ed è diretto contro una decisione finale resa in ultima istanza cantonale da un tribunale superiore (art. 86 cpv. 1 lett. d e cpv. 2 LTF). Esso è stato presentato nei termini dalla destinataria del giudizio contestato ( art. 100 cpv. 1 LTF ), con interesse al suo annullamento ( art. 89 cpv. 1 LTF ), ed è pertanto ammissibile quale ricorso in materia di diritto pubblico giusta l'art. 82 e segg. LTF.</w:t>
      </w:r>
    </w:p>
    <w:p>
      <w:r>
        <w:rPr>
          <w:b/>
        </w:rPr>
        <w:t>E. 2.1</w:t>
      </w:r>
    </w:p>
    <w:p>
      <w:r>
        <w:t>Giusta l' art. 42 LTF , un ricorso davanti al Tribunale federale deve contenere conclusioni, motivi e indicazione dei mezzi di prova (cpv. 1); nei motivi occorre spiegare in modo conciso perché l'atto impugnato viola il diritto (cpv. 2). Nell'allegato ricorsuale, la parte ricorrente deve di conseguenza confrontarsi almeno sommariamente con i considerandi del giudizio impugnato, esponendo in quale misura lo stesso sarebbe lesivo del diritto ( DTF 134 II 244 consid. 2.1 e 2.3). Esigenze più severe valgono poi in relazione alla violazione di diritti fondamentali e di disposizioni di diritto cantonale - di queste ultime potendo essere censurata soltanto un'applicazione arbitraria - che dev'essere fatta valere con precisione ( art. 106 cpv. 2 LTF ; DTF 139 I 229 consid. 2.2. e richiami). In questa ottica, argomentazioni vaghe o meramente appellatorie o semplici rinvii agli atti cantonali non sono ammissibili ( DTF 143 IV 122 consid. 3.3; 142 III 364 consid. 2.4).</w:t>
      </w:r>
    </w:p>
    <w:p>
      <w:r>
        <w:rPr>
          <w:b/>
        </w:rPr>
        <w:t>E. 2.2</w:t>
      </w:r>
    </w:p>
    <w:p>
      <w:r>
        <w:t>Nella fattispecie, la ricorrente si limita a precisazioni puntuali sulla sua situazione rispettivamente a narrare nuovamente i fatti, senza tuttavia esporre in maniera sufficiente i motivi per i quali la pronuncia impugnata sarebbe contraria al diritto rispettivamente non si confronta nelle debite forme (art. 42 cpv. 2 combinato con l' art. 106 cpv. 2 LTF ) con i motivi che hanno indotto la Corte cantonale a rendere il giudizio querelato. Essa in particolare non censura la disattenzione incostituzionale della normativa applicata (cioè della LEPICOSC e del relativo regolamento di applicazione). Ne discende che in mancanza di un'argomentazione topica che risponda alle motivazioni del giudizio contestato, il ricorso non può essere considerato ricevibile e sfugge di conseguenza ad un esame di merito ( DTF 136 I 65 consid. 1.3.1 e richiamo; sentenza 1C_256/2021 del 20 maggio 2021 consid. 3).</w:t>
      </w:r>
    </w:p>
    <w:p>
      <w:r>
        <w:rPr>
          <w:b/>
        </w:rPr>
        <w:t>E. 2.3</w:t>
      </w:r>
    </w:p>
    <w:p>
      <w:r>
        <w:t>Per i motivi illustrati il ricorso si avvera pertanto manifestamente inammissibile e può essere deciso secondo la procedura semplificata di cui all' art. 108 cpv. 1 LTF .</w:t>
      </w:r>
    </w:p>
    <w:p>
      <w:r>
        <w:rPr>
          <w:b/>
        </w:rPr>
        <w:t>E. 3</w:t>
      </w:r>
    </w:p>
    <w:p>
      <w:r>
        <w:t>Le spese seguono la soccombenza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