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2C_452/2023 vom 19. September 2023</w:t>
      </w:r>
    </w:p>
    <w:p>
      <w:r>
        <w:t>Bundesgericht, 2023-09-19, FR</w:t>
      </w:r>
    </w:p>
    <w:p>
      <w:r>
        <w:rPr>
          <w:b/>
        </w:rPr>
        <w:t xml:space="preserve">Quelle: </w:t>
      </w:r>
      <w:r>
        <w:t>https://mcp.opencaselaw.ch/entscheid/bger_2C_452_2023</w:t>
      </w:r>
    </w:p>
    <w:p>
      <w:r>
        <w:t>FR: TF 2C_452/2023 du 19 septembre 2023</w:t>
      </w:r>
    </w:p>
    <w:p>
      <w:r>
        <w:t>IT: TF 2C_452/2023 del 19 settembre 2023</w:t>
      </w:r>
    </w:p>
    <w:p>
      <w:pPr>
        <w:pStyle w:val="Heading2"/>
      </w:pPr>
      <w:r>
        <w:t>Erwägungen</w:t>
      </w:r>
    </w:p>
    <w:p>
      <w:r>
        <w:rPr>
          <w:b/>
        </w:rPr>
        <w:t>E. 1</w:t>
      </w:r>
    </w:p>
    <w:p>
      <w:r>
        <w:t>A.________ exerce comme médecin-psychiatre auprès de l'Hôpital B.________ à U.________, après avoir été interdit de pratique à Genève.</w:t>
      </w:r>
    </w:p>
    <w:p>
      <w:r>
        <w:t>En mai 2022, il a ouvert une action en dommages-intérêts à l'encontre de l'Etat de Genève pour dénonciation calomnieuse et abus de pouvoir devant le Tribunal de première instance de Genève. Il a conclu à ce que l'Etat de Genève soit condamné à lui verser 892'000 fr. Une avance de frais de 30'000 fr. lui a été demandée le 19 décembre 2022. Le 24 janvier 2023, il a sollicité l'octroi de l'assistance judiciaire.</w:t>
      </w:r>
    </w:p>
    <w:p>
      <w:r>
        <w:t>Par décision du 27 mars 2023, la vice-présidence du Tribunal civil a rejeté la requête de l'intéressé. La condition d'indigence n'était pas réalisée.</w:t>
      </w:r>
    </w:p>
    <w:p>
      <w:r>
        <w:t>Par décision du 30 juin 2023, la vice-présidente de la Cour de justice du canton de Genève a rejeté le recours que l'intéressé avait interjeté contre la décision du 27 mars 2023, après un examen minutieux des pièces déposées par ce dernier, confirmant que la condition d'indigence n'était pas réalisée.</w:t>
      </w:r>
    </w:p>
    <w:p>
      <w:r>
        <w:rPr>
          <w:b/>
        </w:rPr>
        <w:t>E. 2</w:t>
      </w:r>
    </w:p>
    <w:p>
      <w:r>
        <w:t>Le 24 août 2023, A.________ a adressé au Tribunal fédéral un mémoire de recours contre la décision du 30 juin 2023, concluant à sa réforme.</w:t>
      </w:r>
    </w:p>
    <w:p>
      <w:r>
        <w:t>Par courrier du 29 août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w:t>
      </w:r>
    </w:p>
    <w:p>
      <w:r>
        <w:t>Le 13 septembre 2023, le recourant a complété son mémoire de recours.</w:t>
      </w:r>
    </w:p>
    <w:p>
      <w:r>
        <w:t>Il n'a pas été ordonné d'échange d'écritures.</w:t>
      </w:r>
    </w:p>
    <w:p>
      <w:r>
        <w:rPr>
          <w:b/>
        </w:rPr>
        <w:t>E. 3.1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rPr>
          <w:b/>
        </w:rPr>
        <w:t>E. 3.2</w:t>
      </w:r>
    </w:p>
    <w:p>
      <w:r>
        <w:t>Pour rendre la décision attaquée, l'instance précédente a examiné les pièces déposées par le recourant auprès de l'autorité intimée à titre de preuve de son indigence. Après appréciation de ces pièces, elle a confirmé que le recourant ne se trouvait pas dans une situation d'indigence.</w:t>
      </w:r>
    </w:p>
    <w:p>
      <w:r>
        <w:t>Dans son mémoire introductif, le recourant se contente d'affirmer que l'arrêt attaqué repose sur une appréciation et interprétation manifestement erronées de sa situation financière et des pièces y afférentes. Dans son mémoire complémentaire, il se borne à répéter qu'il a apporté la preuve de son indigence affirmant que le refus de l'instance précédente de prendre en compte de multiples dépenses avérées constitue une erreur d'appréciation et une violation du droit. Sa critique consiste à remettre en cause les faits constatés, en présentant sa propre vision de sa situation financière. Il n'invoque cependant aucun droit constitutionnel en lien avec la décision attaquée et les constats sur sa situation financière qui y figurent. Une telle argumentation ne remplit pas les exigences de la LTF.</w:t>
      </w:r>
    </w:p>
    <w:p>
      <w:r>
        <w:rPr>
          <w:b/>
        </w:rPr>
        <w:t>E. 4</w:t>
      </w:r>
    </w:p>
    <w:p>
      <w:r>
        <w:t>Dépourvu de griefs admissibles devant le Tribunal fédéral, le recours doit être déclaré manifestement irrecevable en application de l' art. 108 al. 1 let. b LTF .</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