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2C_448/2021 vom 31. Mai 2021</w:t>
      </w:r>
    </w:p>
    <w:p>
      <w:r>
        <w:t>Bundesgericht, 2021-05-31, DE</w:t>
      </w:r>
    </w:p>
    <w:p>
      <w:r>
        <w:rPr>
          <w:b/>
        </w:rPr>
        <w:t xml:space="preserve">Quelle: </w:t>
      </w:r>
      <w:r>
        <w:t>https://mcp.opencaselaw.ch/entscheid/bger_2C_448_2021</w:t>
      </w:r>
    </w:p>
    <w:p>
      <w:r>
        <w:t>FR: TF 2C_448/2021 du 31 mai 2021</w:t>
      </w:r>
    </w:p>
    <w:p>
      <w:r>
        <w:t>IT: TF 2C_448/2021 del 31 maggio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Am 17. Mai 2021 verfügte das Amt für Migration des Kantons Luzern (nachfolgend: das Amt für Migration) gegen A.________ für die Dauer von drei Monaten ab 17. Mai 2021 die Ausschaffungshaft. Gleichzeitig ersuchte es das Zwangsmassnahmengericht des Kantons Luzern (nachfolgend: das Zwangsmassnahmengericht) um Bestätigung dieser Anordnung. Mit Entscheid vom 18. Mai 2021 bestätigte das Zwangsmassnahmengericht die am 17. Mai 2021 verfügte Ausschaffungshaft bis zum 16. Juli 2021.</w:t>
      </w:r>
    </w:p>
    <w:p>
      <w:r>
        <w:rPr>
          <w:b/>
        </w:rPr>
        <w:t>E. 2</w:t>
      </w:r>
    </w:p>
    <w:p>
      <w:r>
        <w:t>Mit Eingabe vom 24. Mai 2021 (Poststempel 25. Mai 2021) gelangt A.________ an das Bundesgericht und beantragt sinngemäss die Freilassung aus der Ausschaffungshaft.</w:t>
      </w:r>
    </w:p>
    <w:p>
      <w:r>
        <w:rPr>
          <w:b/>
        </w:rPr>
        <w:t>E. 3</w:t>
      </w:r>
    </w:p>
    <w:p>
      <w:r>
        <w:t>Bevor in ausländerrechtlichen Haftsachen die Beschwerde in öffentlich-rechtlichen Angelegenheiten an das Bundesgericht ergriffen werden kann ( Art. 82 ff. BGG ), ist nach Art. 86 Abs. 1 lit. d BGG zunächst der kantonale Instanzenzug auszuschöpfen. Dieses Erfordernis ist vorliegend offensichtlich nicht erfüllt: Nach § 25 Abs. 2 des luzernischen Einführungsgesetzes vom 14. September 2009 zum Bundesgesetz über die Ausländerinnen und Ausländer (EG AuG/LU; SRL 7) steht gegen den Entscheid des Zwangsmassnahmengerichts die Beschwerde an den Einzelrichter bzw. die Einzelrichterin des Kantonsgerichts zur Verfügung; darauf wurde der Beschwerdeführer in der Rechtsmittelbelehrung des begründeten Entscheids des Zwangsmassnahmengerichts auch ausdrücklich hingewiesen. Entsprechend ist die vorliegende Beschwerde an das Bundesgericht offensichtlich unzulässig ( Art. 86 Abs. 1 lit. d BGG ); darauf ist nicht einzutreten ( Art. 108 Abs. 1 lit. a BGG ).</w:t>
      </w:r>
    </w:p>
    <w:p>
      <w:r>
        <w:rPr>
          <w:b/>
        </w:rPr>
        <w:t>E. 4</w:t>
      </w:r>
    </w:p>
    <w:p>
      <w:r>
        <w:t>Da die innerkantonale Zuständigkeit aus § 25 Abs. 2 EG AuG/LU klar hervorgeht, ist die Eingabe des Beschwerdeführers an das Kantonsgericht Luzern zu überweisen, damit dieses über die Beschwerde befinde ( Art. 31 Abs. 2 BGG ; BGE 136 I 42 E. 2; Urteil 2D_32/2020 vom 24. März 2021 E. 2 [zur amtl. Publ. vorgesehen]).</w:t>
      </w:r>
    </w:p>
    <w:p>
      <w:r>
        <w:rPr>
          <w:b/>
        </w:rPr>
        <w:t>E. 5</w:t>
      </w:r>
    </w:p>
    <w:p>
      <w:r>
        <w:t>Auf die Erhebung von Gerichtskosten ist angesichts der Umstände zu verzichten ( Art. 66 Abs. 1 BGG ). Parteientschädigungen sind nicht geschuldet ( Art. 68 Abs. 3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