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448/2014 vom 5. November 2014</w:t>
      </w:r>
    </w:p>
    <w:p>
      <w:r>
        <w:t>Bundesgericht, 2014-11-05, FR</w:t>
      </w:r>
    </w:p>
    <w:p>
      <w:r>
        <w:rPr>
          <w:b/>
        </w:rPr>
        <w:t xml:space="preserve">Quelle: </w:t>
      </w:r>
      <w:r>
        <w:t>https://mcp.opencaselaw.ch/entscheid/bger_2C_448_2014</w:t>
      </w:r>
    </w:p>
    <w:p>
      <w:r>
        <w:t>FR: TF 2C 448/2014 du 5 novembre 2014</w:t>
      </w:r>
    </w:p>
    <w:p>
      <w:r>
        <w:t>IT: TF 2C 448/2014 del 5 novembre 2014</w:t>
      </w:r>
    </w:p>
    <w:p>
      <w:pPr>
        <w:pStyle w:val="Heading2"/>
      </w:pPr>
      <w:r>
        <w:t>Regeste</w:t>
      </w:r>
    </w:p>
    <w:p>
      <w:r>
        <w:t>Radiation provisoire du tableau des mandataires professionnellement qualifiés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par le destinataire de l'arrêt attaqué qui a qualité pour recourir au sens de l' art. 89 al. 1 LTF . Le recours en matière de droit public est par conséquent recevable, sous réserve de ce qui suit.</w:t>
      </w:r>
    </w:p>
    <w:p>
      <w:r>
        <w:rPr>
          <w:b/>
        </w:rPr>
        <w:t>E. 1.2</w:t>
      </w:r>
    </w:p>
    <w:p>
      <w:r>
        <w:t>En principe, le recours en matière de droit public doit contenir des conclusions réformatoires. Or, le recourant formule une conclusion principale purement cassatoire, sans requérir une nouvelle décision en la cause (que ce soit par des conclusions constatatoires, condamnatoires, formatrices ou de renvoi). Une telle conclusion est néanmoins admise dans le recours en matière de droit public, à condition toutefois que les revendications du recourant ressortent clairement des motifs (cf. ATF 133 II 409 consid. 1.4 p. 414 s., en particulier consid. 1.4.1 i.f.). En l'occurrence, on peut comprendre que le recourant cherche en définitive à ne pas être suspendu provisoirement dans sa profession durant un an. En cela, l'insuffisance de sa conclusion ne saurait lui nuire.</w:t>
      </w:r>
    </w:p>
    <w:p>
      <w:r>
        <w:rPr>
          <w:b/>
        </w:rPr>
        <w:t>E. 1.3</w:t>
      </w:r>
    </w:p>
    <w:p>
      <w:r>
        <w:t>La conclusion tendant à l'annulation de la décision de la chambre des architectes et des ingénieurs est par contre irrecevable en raison de l'effet dévolutif complet du recours auprès de la Cour de justice ( ATF 136 II 539 consid. 1.2 p. 543; concernant spécifiquement Genève, arrêts 8C_47/2013 du 28 octobre 2013 consid. 4.2; 2C_886/2012 du 29 juin 2013 consid. 1, non publié in ATF 139 II 529 ).</w:t>
      </w:r>
    </w:p>
    <w:p>
      <w:r>
        <w:rPr>
          <w:b/>
        </w:rPr>
        <w:t>E. 2</w:t>
      </w:r>
    </w:p>
    <w:p>
      <w:r>
        <w:t>Le recourant fait en premier lieu valoir que l'instance précédente a établi les faits à sa disposition de manière arbitraire et que c'est à tort que celle-ci a admis une violation de son devoir d'information.</w:t>
      </w:r>
    </w:p>
    <w:p>
      <w:r>
        <w:rPr>
          <w:b/>
        </w:rPr>
        <w:t>E. 2.1</w:t>
      </w:r>
    </w:p>
    <w:p>
      <w:r>
        <w:t>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137 III 226 consid. 4.2 p. 233 s.; 134 V 53 consid. 4.3 p. 62 et les références). Il appartient à la partie recourante de démontrer le caractère arbitraire par une argumentation répondant aux exigences accrues de motivation de l' art. 106 al. 2 LTF ( ATF 137 I 58 consid. 4.1.2 p. 62; 133 II 249 consid. 1.4.3 p. 254 s.). En particulier, le Tribunal fédéral n'entre pas en matière sur des critiques de type appellatoire portant sur l'état de fait ou l'appréciation des preuves ( ATF 139 II 404 consid. 10.1 p. 444 et les arrêts cités).</w:t>
      </w:r>
    </w:p>
    <w:p>
      <w:r>
        <w:rPr>
          <w:b/>
        </w:rPr>
        <w:t>E. 2.2</w:t>
      </w:r>
    </w:p>
    <w:p>
      <w:r>
        <w:t>En l'occurrence, la Cour de justice a retenu que devant la chambre des architectes et des ingénieurs, le recourant n'avait pas prétendu avoir exposé à ses clients la situation dans laquelle il se trouvait avant la signature de la convention, mais qu'il avait par contre affirmé les avoir informé de la sanction dès la réception de l'arrêt du Tribunal fédéral, le 18 juin 2010. Dans son recours devant la Cour de justice, le recourant s'est contenté de mentionner que ses clients étaient parfaitement au courant de la situation, sans toutefois indiquer depuis quand ils l'étaient. Devant le Tribunal fédéral, en référence à l' art. 29 Cst. , A.X.________ fait valoir que la Cour de justice aurait dû ordonner l'audition des parties ou à tout le moins sa propre audition, faute de quoi celle-ci ne pouvait pas considérer le manque d'information comme étant prouvé.</w:t>
      </w:r>
    </w:p>
    <w:p>
      <w:r>
        <w:rPr>
          <w:b/>
        </w:rPr>
        <w:t>E. 2.3</w:t>
      </w:r>
    </w:p>
    <w:p>
      <w:r>
        <w:t>C'est de manière infondée que le recourant reproche à l'instance précédente un manque d'instruction de la cause. Selon lui, celle-ci aurait d'office dû procéder à diverses auditions. Il méconnaît tout d'abord que les garanties minimales en matière de droit d'être entendu découlant de l' art. 29 al. 2 Cst. ne comprennent en principe pas le droit d'être entendu oralement ( ATF 134 I 140 consid. 5.3 p. 148; 130 II 425 consid. 2.1 p. 428; arrêt 2C_276/2011 du 10 octobre 2011 consid. 2.1, non publié au recueil officiel). Le droit cantonal peut certes, selon les cas, offrir une protection plus étendue aux justiciables (cf. ATF 135 I 91 consid. 2.4.2.1 p. 96 a contrario; arrêt 2D_32/2010 du 8 octobre 2010 consid. 3.1). Le recourant ne fait toutefois pas valoir que cela serait le cas en l'espèce. Par ailleurs, le recourant estime que la Cour de justice aurait dû auditionner les "parties". Si c'est de l'audition de ses clients que le recourant se prévaut (ceux-ci n'étant cependant pas parties à la procédure), force est de constater que celui-ci ne fait pas valoir d'application arbitraire de dispositions de procédure cantonale à ce sujet. En tout état de cause, l'instance précédente a retenu de manière soutenable que le recourant avait déclaré avoir informé ses mandants de sa sanction dès la réception de l'arrêt du Tribunal fédéral. C'est de manière purement appellatoire que A.X.________ indique devant la Cour de céans avoir tenu ses mandants informés des procédures disciplinaires qui pesaient sur lui. C'est ainsi sans arbitraire que les juges cantonaux ont considéré que le recourant n'avait pas expliqué à ses clients l'existence d'un risque de sanction dès la signature de la convention en janvier 2010. La déclaration de celui-ci devant l'instance cantonale, voulant que ses clients étaient au courant de la situation, n'y change rien. S'il estimait le dossier insuffisamment instruit, il appartenait au recourant de requérir lui-même l'audition de ses clients ou de demander d'éventuels autres actes d'instruction, ce qu'il n'a pas fait. Partant, son recours sur ce point s'avère mal fondé et doit être rejeté. Le Tribunal fédéral vérifiera ainsi la correcte application du droit sur la seule base des faits retenus par l'instance précédente.</w:t>
      </w:r>
    </w:p>
    <w:p>
      <w:r>
        <w:rPr>
          <w:b/>
        </w:rPr>
        <w:t>E. 3</w:t>
      </w:r>
    </w:p>
    <w:p>
      <w:r>
        <w:t>Le recourant semble ensuite invoquer une violation de l'art. 6 al. 2 de la loi genevoise du 17 décembre 1982 sur l'exercice des professions d'architecte et d'ingénieur (LPAI/GE; L 5 40).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 En l'espèce, le mémoire du recourant ne remplit pas ces conditions, raison pour laquelle le grief de violation de l'art. 6 al. 2 LPAI/GE doit être déclaré irrecevable.</w:t>
      </w:r>
    </w:p>
    <w:p>
      <w:r>
        <w:rPr>
          <w:b/>
        </w:rPr>
        <w:t>E. 4</w:t>
      </w:r>
    </w:p>
    <w:p>
      <w:r>
        <w:t>Finalement, le recourant fait encore valoir des violations du principe de la proportionnalité et "du principe de la garantie de la liberté économique". En réalité, il fait valoir une restriction disproportionnée de sa liberté économique, garantie à l' art. 27 Cst. Il ne conteste toutefois pas la mesure en tant que telle.</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137 I 167 consid. 3.1 p. 172; 135 I 130 consid. 4.2 p. 135; 134 I 214 consid. 3 p. 215 s.).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Toute restriction d'un droit fondamental doit être justifiée par un intérêt public ou par la protection d'un droit fondamental d'autrui ( art. 36 al. 2 Cst. ) et proportionnée au but visé ( art. 36 al. 3 Cst. ).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137 I 167 consid. 3.6 p. 175 s.; 135 I 233 consid. 3.1 p. 245 s.; 134 I 221 consid. 3.3 p. 227).</w:t>
      </w:r>
    </w:p>
    <w:p>
      <w:r>
        <w:rPr>
          <w:b/>
        </w:rPr>
        <w:t>E. 4.2</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(arrêt 2C_66/2013 du 7 mai 2013 consid. 7.2 et les références citées).</w:t>
      </w:r>
    </w:p>
    <w:p>
      <w:r>
        <w:rPr>
          <w:b/>
        </w:rPr>
        <w:t>E. 4.3</w:t>
      </w:r>
    </w:p>
    <w:p>
      <w:r>
        <w:t>Le principe de la proportionnalité doit donc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106 Ia 100 consid. 13c p. 121; 98 Ib 301 consid. 2b; 97 I 831 consid. 2a; arrêts 2C_268/2010 du 18 juin 2010 consid. 3.2; 2P.133/2003 du 28 juillet 2003, consid. 4.2.1 et les références citées). Au demeurant, le Tribunal fédéral s'impose une certaine retenue lors de l'examen de la sanction disciplinaire prononcée. Il n'intervient à cet égard que lorsque l'autorité de surveillance a excédé les limites de son pouvoir d'appréciation, de sorte que la sanction apparaît clairement disproportionnée et confine à l'arbitraire (arrêts 2C_268/2010 précité consid. 7; 2C_889/2008 du 21 juillet 2009 consid. 3.2 et les références citées).</w:t>
      </w:r>
    </w:p>
    <w:p>
      <w:r>
        <w:rPr>
          <w:b/>
        </w:rPr>
        <w:t>E. 4.4</w:t>
      </w:r>
    </w:p>
    <w:p>
      <w:r>
        <w:t>En tant qu'elle prononce la radiation provisoire du tableau des mandataires professionnellement qualifiés pour une durée d'un an, la sanction prononcée constitue une atteinte grave à la liberté économique garantie par l' art. 27 Cst. (cf. arrêt 2C_268/2010 précité consid. 3.4). Lorsque l'atteinte est grave, le Tribunal fédéral examine librement si elle repose sur une base légale formelle. De même, il examine librement si une mesure répond à un intérêt public suffisant ( ATF 130 I 65 consid. 3.3 p. 68 et les références citées) et satisfait au principe de la proportionnalité ( ATF 134 I 153 consid. 4.2.1 et 4.2.2 p. 157 s.). Toutefois, comme le Tribunal fédéral l'a déjà expliqué au recourant dans l'arrêt 2C_268/2010 précité (consid. 7), le libre examen de la violation grave d'un droit fondamental - comme ici la liberté économique garantie par l' art. 27 Cst. - n'a lieu que dans la stricte limite des griefs invoqués et dûment motivés par le recourant en conformité avec les exigences de l' art. 106 al. 2 LTF .</w:t>
      </w:r>
    </w:p>
    <w:p>
      <w:r>
        <w:rPr>
          <w:b/>
        </w:rPr>
        <w:t>E. 4.5</w:t>
      </w:r>
    </w:p>
    <w:p>
      <w:r>
        <w:t>En l'espèce, le recourant ne conteste, à raison, ni la légalité de la mesure, ni l'adéquation de celle-ci avec l'intérêt public. Il se contente d'affirmer que la mesure viole le principe de la proportionnalité et que ses antécédents n'ont pas à être pris en compte dans la présente procédure. Il soutient de plus que l'amende prononcée repose sur une constatation et appréciation des faits erronées. Outre le fait que les faits ont été retenus sans arbitraire par la Cour de justice et qu'il n'y a plus à en traiter à ce stade (cf. consid. 2 ci-dessus), les antécédents du recourant, contrairement à l'avis de ce dernier, doivent justement être pris en compte dans la pesée des intérêts (cf. consid. 4.3 ci-dessus). Même si, comme le relève la Cour de justice, la violation du devoir d'information en cause n'est que de peu d'importance, celle-ci doit être appréciée en prenant en compte les antécédents du recourant, notamment des précédentes suspensions d'un an et de six mois (cf. arrêt attaqué ch. 13, cf. également arrêt 2C_268/2010 précité consid. 7). La mesure prononcée par la Cour de justice n'apparaît ainsi pas clairement disproportionnée et ne prête donc pas le flanc à la critique. La Cour de justice n'a donc pas violé l' art. 27 Cst. et le recours doit également être rejeté sur ce point.</w:t>
      </w:r>
    </w:p>
    <w:p>
      <w:r>
        <w:rPr>
          <w:b/>
        </w:rPr>
        <w:t>E. 5</w:t>
      </w:r>
    </w:p>
    <w:p>
      <w:r>
        <w:t>Succombant, le recourant doit supporter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