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2C_447/2024 vom 19. September 2024</w:t>
      </w:r>
    </w:p>
    <w:p>
      <w:r>
        <w:t>Bundesgericht, 2024-09-19, IT</w:t>
      </w:r>
    </w:p>
    <w:p>
      <w:r>
        <w:rPr>
          <w:b/>
        </w:rPr>
        <w:t xml:space="preserve">Quelle: </w:t>
      </w:r>
      <w:r>
        <w:t>https://mcp.opencaselaw.ch/entscheid/bger_2C_447_2024</w:t>
      </w:r>
    </w:p>
    <w:p>
      <w:r>
        <w:t>FR: TF 2C_447/2024 du 19 septembre 2024</w:t>
      </w:r>
    </w:p>
    <w:p>
      <w:r>
        <w:t>IT: TF 2C_447/2024 del 19 settembre 2024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La cittadina tunisina A.________ si è sposata con un cittadino elvetico il... 2018 nel suo Paese di origine. Il 10 gennaio 2019 è stata autorizzata a entrare in Svizzera per vivere con il marito e posta a beneficio di un permesso di dimora annuale. Il matrimonio, da cui non sono nati figli, è stato sciolto per divorzio il 28 luglio 2021.</w:t>
      </w:r>
    </w:p>
    <w:p>
      <w:r>
        <w:rPr>
          <w:b/>
        </w:rPr>
        <w:t>E. 1.2</w:t>
      </w:r>
    </w:p>
    <w:p>
      <w:r>
        <w:t>Con decisione del 10 febbraio 2023, la Sezione della popolazione del Dipartimento delle istituzioni del Cantone Ticino ha negato a A.________ il rinnovo del permesso di dimora, perché lo scopo per il quale era stato concesso era venuto a cadere. Su ricorso, tale provvedimento è stato confermato sia dal Consiglio di Stato (15 novembre 2023) che dal Tribunale amministrativo ticinese, espressosi in merito con sentenza dell'8 luglio 2024.</w:t>
      </w:r>
    </w:p>
    <w:p>
      <w:r>
        <w:rPr>
          <w:b/>
        </w:rPr>
        <w:t>E. 1.3</w:t>
      </w:r>
    </w:p>
    <w:p>
      <w:r>
        <w:t>Con ricorso in materia di diritto pubblico del 16 settembre 2024, A.________ è insorta davanti al Tribunale federale chiedendo: in via principale e in riforma della querelata sentenza, che le sia concesso il rinnovo del permesso di dimora; in via subordinata, che la sentenza impugnata sia annullata e l'incarto sia rinviato all'istanza precedente per nuovo giudizio. Domanda inoltre la concessione dell'effetto sospensivo al gravame e la concessione dell'assistenza giudiziaria.</w:t>
      </w:r>
    </w:p>
    <w:p>
      <w:r>
        <w:rPr>
          <w:b/>
        </w:rPr>
        <w:t>E. 2</w:t>
      </w:r>
    </w:p>
    <w:p>
      <w:r>
        <w:t>Giusta l'art. 83 lett. c n. 2 LTF, il ricorso in materia di diritto pubblico è inammissibile contro le decisioni in materia di diritto degli stranieri concernenti permessi o autorizzazioni al cui ottenimento né il diritto federale né il diritto internazionale conferiscono un diritto.</w:t>
      </w:r>
    </w:p>
    <w:p>
      <w:r>
        <w:rPr>
          <w:b/>
        </w:rPr>
        <w:t>E. 2.1</w:t>
      </w:r>
    </w:p>
    <w:p>
      <w:r>
        <w:t>Nella fattispecie, la ricorrente insorge davanti al Tribunale federale sostenendo di avere un diritto di soggiorno in Svizzera in base all'art. 50 cpv. 1 lett. a della legge federale del 16 dicembre 2005 sugli stranieri e la loro integrazione (LStrI; RS 142.20).</w:t>
      </w:r>
    </w:p>
    <w:p>
      <w:r>
        <w:t>Questa norma prevede che, dopo lo scioglimento del matrimonio o della comunità familiare, il diritto del coniuge al rilascio e alla proroga del permesso di dimora in virtù dell' art. 42 LStrI risulta preservato se l'unione coniugale è durata almeno tre anni e sono soddisfatti i criteri d'integrazione di cui all'art. 58a della legge medesima.</w:t>
      </w:r>
    </w:p>
    <w:p>
      <w:r>
        <w:rPr>
          <w:b/>
        </w:rPr>
        <w:t>E. 2.2</w:t>
      </w:r>
    </w:p>
    <w:p>
      <w:r>
        <w:t>Tuttavia, già in ragione del fatto che la ricorrente è giunta in Svizzera il 10 gennaio 2019 e il divorzio dei coniugi è stato pronunciato il 28 luglio 2021, un diritto di soggiorno in Svizzera giusta l' art. 50 cpv. 1 lett. a LStrI dev'essere chiaramente escluso.</w:t>
      </w:r>
    </w:p>
    <w:p>
      <w:r>
        <w:t>Come indicato dal Tribunale federale nella DTF 136 II 113 consid 3.3.1-3.3.4 - basandosi su un'interpretazione approfondita della norma e non solo sul suo testo, come pretenderebbe l'insorgente, invocando genericamente anche l' art. 8 CEDU - per la durata dell'unione coniugale di tre anni è infatti decisivo unicamente il periodo tra l'inizio della coabitazione effettiva dei coniugi in Svizzera e lo scioglimento della comunità familiare ( DTF 140 II 345 consid. 4.1; 140 II 289 consid. 3.5.1; sentenze 2C_238/2024 del 25 giugno 2024 consid. 5.1; 2C_167/2024 del 2 aprile 2024 consid. 3.6; 2C_92/2023 del 5 maggio 2023 consid. 6.2).</w:t>
      </w:r>
    </w:p>
    <w:p>
      <w:r>
        <w:rPr>
          <w:b/>
        </w:rPr>
        <w:t>E. 2.3</w:t>
      </w:r>
    </w:p>
    <w:p>
      <w:r>
        <w:t>Oltre che dall' art. 50 cpv. 1 lett. a LStrI , un diritto di soggiorno in Svizzera non risulta nemmeno da altre norme e, in particolare, dall' art. 50 cpv. 1 lett. b LStrI o dall' art. 8 CEDU .</w:t>
      </w:r>
    </w:p>
    <w:p>
      <w:r>
        <w:t>La Corte cantonale ha escluso anche tali ipotesi e la ricorrente non contesta il giudizio impugnato su questo punto (art. 4.2. cpv. 2 LTF; DTF 145 V 161 consid. 5.2). Sia come sia, quanto indicato dai Giudici ticinesi è corretto perché, in assenza di motivi personali gravi che rendano necessario il prosieguo del soggiorno in Svizzera, l'applicazione dell' art. 50 cpv. 1 lett. b LStrI va immediatamente esclusa. D'altra parte, siccome la ricorrente ha divorziato, è giunta in Svizzera solo di recente (2019) e non è data nessuna integrazione qualificata, immediatamente esclusa va pure la possibilità di richiamo alla tutela della vita familiare o della vita privata giusta l' art. 8 CEDU ( DTF 149 I 207 consid. 5.3; 144 I 266 consid. 3.3, 3.5 e 3.9; sentenza 2C_167/2024 del 2 aprile 2024 consid. 3.7).</w:t>
      </w:r>
    </w:p>
    <w:p>
      <w:r>
        <w:rPr>
          <w:b/>
        </w:rPr>
        <w:t>E. 3</w:t>
      </w:r>
    </w:p>
    <w:p>
      <w:r>
        <w:t>Le spese giudiziarie di fr. 500.-- sono poste a carico della ricorrente.</w:t>
      </w:r>
    </w:p>
    <w:p>
      <w:r>
        <w:rPr>
          <w:b/>
        </w:rPr>
        <w:t>E. 3.1</w:t>
      </w:r>
    </w:p>
    <w:p>
      <w:r>
        <w:t>Per quanto precede, il ricorso è manifestamente inammissibile e va deciso secondo la procedura di cui all' art. 108 cpv. 1 lett. a e b LTF .</w:t>
      </w:r>
    </w:p>
    <w:p>
      <w:r>
        <w:rPr>
          <w:b/>
        </w:rPr>
        <w:t>E. 3.2</w:t>
      </w:r>
    </w:p>
    <w:p>
      <w:r>
        <w:t>La domanda di assistenza giudiziaria non può essere accolta perché il ricorso doveva apparire sin dall'inizio come privo di probabilità di successo ( art. 64 cpv. 1 LTF ). Le spese giudiziarie seguono quindi la soccombenza (art. 65 cpv. 1 e 2, art. 66 cpv. 1 LTF ). Non si assegnano ripetibili ( art. 68 cpv. 3 LTF ).</w:t>
      </w:r>
    </w:p>
    <w:p>
      <w:r>
        <w:rPr>
          <w:b/>
        </w:rPr>
        <w:t>E. 3.3</w:t>
      </w:r>
    </w:p>
    <w:p>
      <w:r>
        <w:t>Con l'emanazione del presente giudizio, la richiesta di concessione dell'effetto sospensivo al ricorso diventa senza oggetto.</w:t>
      </w:r>
    </w:p>
    <w:p>
      <w:r>
        <w:t>per questi motivi, la Presidente pronuncia:</w:t>
      </w:r>
    </w:p>
    <w:p>
      <w:r>
        <w:t>1.</w:t>
      </w:r>
    </w:p>
    <w:p>
      <w:r>
        <w:t>Il ricorso è inammissibile.</w:t>
      </w:r>
    </w:p>
    <w:p>
      <w:r>
        <w:t>2.</w:t>
      </w:r>
    </w:p>
    <w:p>
      <w:r>
        <w:t>La domanda di assistenza giudiziaria è respinta.</w:t>
      </w:r>
    </w:p>
    <w:p>
      <w:r>
        <w:rPr>
          <w:b/>
        </w:rPr>
        <w:t>E. 4</w:t>
      </w:r>
    </w:p>
    <w:p>
      <w:r>
        <w:t>Comunicazione al patrocinatore della ricorrente, alla Sezione della popolazione del Dipartimento delle istituzioni, al Consiglio di Stato e al Tribunale amministrativo del Cantone Ticino, nonché alla Segreteria di Stato della migrazione.</w:t>
      </w:r>
    </w:p>
    <w:p>
      <w:r>
        <w:t>Losanna, 19 settembre 2024</w:t>
      </w:r>
    </w:p>
    <w:p>
      <w:r>
        <w:t>In nome della II Corte di diritto pubblico</w:t>
      </w:r>
    </w:p>
    <w:p>
      <w:r>
        <w:t>del Tribunale federale svizzero</w:t>
      </w:r>
    </w:p>
    <w:p>
      <w:r>
        <w:t>La Presidente: F. Aubry Girardin</w:t>
      </w:r>
    </w:p>
    <w:p>
      <w:r>
        <w:t>Il Cancelliere: Savoldelli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