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2C_446/2011 vom 10. Oktober 2011</w:t>
      </w:r>
    </w:p>
    <w:p>
      <w:r>
        <w:t>Bundesgericht, 2011-10-10, FR</w:t>
      </w:r>
    </w:p>
    <w:p>
      <w:r>
        <w:rPr>
          <w:b/>
        </w:rPr>
        <w:t xml:space="preserve">Quelle: </w:t>
      </w:r>
      <w:r>
        <w:t>https://mcp.opencaselaw.ch/entscheid/bger_2C_446_2011</w:t>
      </w:r>
    </w:p>
    <w:p>
      <w:r>
        <w:t>FR: TF 2C_446/2011 du 10 octobre 2011</w:t>
      </w:r>
    </w:p>
    <w:p>
      <w:r>
        <w:t>IT: TF 2C_446/2011 del 10 ottobre 2011</w:t>
      </w:r>
    </w:p>
    <w:p>
      <w:pPr>
        <w:pStyle w:val="Heading2"/>
      </w:pPr>
      <w:r>
        <w:t>Erwägungen</w:t>
      </w:r>
    </w:p>
    <w:p>
      <w:r>
        <w:rPr>
          <w:b/>
        </w:rPr>
        <w:t>E. 1.1</w:t>
      </w:r>
    </w:p>
    <w:p>
      <w:r>
        <w:t>Portant sur des mesures superprovisoires, le prononcé attaqué constitue une décision incidente au sens de l' art. 93 LTF (cf. arrêt 5A_678/2007 du 8 janvier 2008 consid. 2.1).</w:t>
      </w:r>
    </w:p>
    <w:p>
      <w:r>
        <w:t>Les décisions préjudicielles ou incidentes visées par l' art. 93 LTF peuvent faire l'objet d'un recours - qu'il s'agisse d'un recours ordinaire ou constitutionnel subsidiaire ( art. 117 LTF ) - immédiat au Tribunal fédéral, à la condition qu'elles soient propres à causer un préjudice irréparable ( art. 93 al. 1 let. a LTF ), lequel doit être de nature juridique ( ATF 134 III 188 consid. 2.1 p. 190). Il appartient au recourant d'expliquer en quoi la décision incidente qu'il attaque remplit les conditions de l' art. 93 LTF ; le recourant doit en particulier exposer de quelle manière ce prononcé est de nature à lui causer un dommage irréparable, à moins que cela ne fasse d'emblée aucun doute (Florence Aubry Girardin, in Commentaire de la LTF, 2009, no 37 ad art. 42 LTF ; Yves Donzallaz, Loi sur le Tribunal fédéral, 2008, no 3335 et la jurisprudence citée).</w:t>
      </w:r>
    </w:p>
    <w:p>
      <w:r>
        <w:rPr>
          <w:b/>
        </w:rPr>
        <w:t>E. 1.2</w:t>
      </w:r>
    </w:p>
    <w:p>
      <w:r>
        <w:t>Dans la décision attaquée, l'autorité précédente a rejeté - en tant qu'elle n'était pas sans objet - la requête de mesures superprovisoires tendant essentiellement à bloquer l'exécution du contrat conclu le 20 mai 2010, que ce soit en la faisant interdire sous la menace des peines de l' art. 292 CP ou en faisant constater l'invalidité dudit contrat. Le Tribunal fédéral a eu l'occasion de se prononcer récemment dans une affaire où, comme en l'espèce, le contrat avait été conclu pendant le délai de recours contre l'adjudication, en violation du droit cantonal (ainsi que de l'art. 14 al. 1 de l'accord intercantonal sur les marchés publics [AIMP] des 25 novembre 1994/15 mars 2001). Il a relevé que la juridiction administrative saisie du recours contre l'adjudication peut, lorsqu'elle statue sur une requête de mesures provisoires, se réserver, pour le cas où elle devrait admettre le recours contre l'adjudication dans sa décision finale, de donner au pouvoir adjudicateur des instructions quant à la conduite à tenir par rapport au contrat conclu irrégulièrement (arrêt 2C_339/2010 et 2C_434/2010 du 11 juin 2010 consid. 3.2).</w:t>
      </w:r>
    </w:p>
    <w:p>
      <w:r>
        <w:t>Le cas d'espèce a ceci de particulier que le contrat a, selon toutes les apparences, été conclu le 20 mai 2010 déjà, soit environ une année avant le prononcé de la décision attaquée. On peut dès lors partir de l'idée qu'il a été très largement exécuté (il ressort de la décision de mesures provisionnelles de la juridiction civile du 30 mai 2011 [p. 3] que Y.________ SA a exposé que les travaux étaient "sur le point d'être terminés"). Dans ces conditions, on ne voit pas en quoi le refus de l'autorité précédente de faire cesser l'exécution dudit contrat serait de nature à causer à la recourante un préjudice irréparable au sens de l' art. 93 al. 1 let. a LTF . Le mémoire de recours ne contient pas de motivation sur ce point, alors qu'il incombe à la partie recourante d'exposer de quelle manière cette condition est remplie (cf. consid. 1.1 ci-dessus). Il s'ensuit que le Tribunal de céans ne peut entrer en matière.</w:t>
      </w:r>
    </w:p>
    <w:p>
      <w:r>
        <w:rPr>
          <w:b/>
        </w:rPr>
        <w:t>E. 2</w:t>
      </w:r>
    </w:p>
    <w:p>
      <w:r>
        <w:t>Au vu de ce qui précède, les recours sont irrecevables.</w:t>
      </w:r>
    </w:p>
    <w:p>
      <w:r>
        <w:t>Succombant, la recourante s'acquittera d'un émolument judiciaire (cf. art. 65 et 66 LTF ), ainsi que d'une indemnité de dépens en faveur de l'adjudicataire (cf. art. 68 al. 1 et 2 LTF ). En sa qualité d'organisation chargée d'une tâche de droit public, l'intimée n'a pas droit à des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