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2C_445/2021 vom 8. Juni 2021</w:t>
      </w:r>
    </w:p>
    <w:p>
      <w:r>
        <w:t>Bundesgericht, 2021-06-08, DE</w:t>
      </w:r>
    </w:p>
    <w:p>
      <w:r>
        <w:rPr>
          <w:b/>
        </w:rPr>
        <w:t xml:space="preserve">Quelle: </w:t>
      </w:r>
      <w:r>
        <w:t>https://mcp.opencaselaw.ch/entscheid/bger_2C_445_2021</w:t>
      </w:r>
    </w:p>
    <w:p>
      <w:r>
        <w:t>FR: TF 2C_445/2021 du 8 juin 2021</w:t>
      </w:r>
    </w:p>
    <w:p>
      <w:r>
        <w:t>IT: TF 2C_445/2021 del 8 giugno 2021</w:t>
      </w:r>
    </w:p>
    <w:p>
      <w:pPr>
        <w:pStyle w:val="Heading2"/>
      </w:pPr>
      <w:r>
        <w:t>Erwägungen</w:t>
      </w:r>
    </w:p>
    <w:p>
      <w:r>
        <w:rPr>
          <w:b/>
        </w:rPr>
        <w:t>E. 1</w:t>
      </w:r>
    </w:p>
    <w:p>
      <w:r>
        <w:t>A.________ steht in einer rechtlichen Auseinandersetzung mit verschiedenen Behörden und insbesondere der Steuerrekurskommission des Kantons Zürich. Mit Zwischenverfügung vom 23. April 2021 verfügte der Abteilungspräsident des Verwaltungsgerichts des Kantons Zürich, dass er innert 20 Tagen einen Kostenvorschuss von Fr. 870.-- zu leisten habe, andernfalls auf seine Beschwerde nicht eingetreten würde. A.________ ist hiergegen an die Präsidentin des Bundesgerichts gelangt. Die Eingabe ist zuständigkeitshalber durch die II. öffentlich-rechtliche Abteilung zu erledigen ( Art. 30 Abs. 1 lit. b BGerR [SR 173.110.131]).</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 mit Hinweisen). Das Bundesgericht ist im Übrigen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Art. 106 Abs. 2 BGG ; BGE 145 II 32 E. 5.1; 144 V 50 E. 4.2).</w:t>
      </w:r>
    </w:p>
    <w:p>
      <w:r>
        <w:rPr>
          <w:b/>
        </w:rPr>
        <w:t>E. 2.2</w:t>
      </w:r>
    </w:p>
    <w:p>
      <w:r>
        <w:t>Die vorliegende Eingabe genügt diesen Anforderungen nicht: Verfahrensgegenstand bildet ausschliesslich der Inhalt der Zwischenverfügung des Abteilungspräsidenten des Verwaltungsgerichts des Kantons Zürich bezüglich der Leistung des Kostenvorschusses. Mit dieser Frage setzt sich der Beschwerdeführer in seiner Eingabe nicht sachbezogen auseinander. Er schildert detailliert den Hintergrund seines Missmuts gegenüber den schweizerischen Behörden; er legt indessen nicht dar, inwiefern die angefochtene Verfügung Bundes (verfassungs) recht verletzen würde. Wenn er einwendet, dass ihm Akteneinsicht zu gewähren sei, überzeugt dies nicht, da zuerst das Verfahren vor dem Verwaltungsgericht überhaupt eingeleitet sein muss. Der Beschwerdeführer legt nicht dar, inwiefern die Erhebung des umstrittenen Kostenvorschusses bundes (verfassungs) rechtswidrig wäre. Soweit er geltend macht, dass zahlreiche Personen - unter ihnen auch der verfügende Abteilungspräsident des Verwaltungsgerichts - befangen seien, kann auf den Entscheid 2C_692/2019 vom 14. August 2019 verwiesen werden, der ebenfalls den Beschwerdeführer betrifft; das Bundesgericht hielt dort fest (E. 2.3) :</w:t>
      </w:r>
    </w:p>
    <w:p>
      <w:r>
        <w:t>"Selbst wenn im bundesgerichtlichen Verfahren keine Rüge und Begründung ersichtlich ist, die den gesetzlichen Anforderungen genügt, ist festzuhalten, dass die Vorinstanz bei dieser Sachlage nicht gehalten war, sich materiell mit dem Ausstandsgesuch zu befassen. Pauschal begründete Ausstandsgesuche sind unzulässig, und es ist darauf nicht einzutreten, wobei auch die abgelehnten Gerichtspersonen mitwirken können (Urteil 2C_605/2019 vom 27. Juni 2019 E. 3.1) ".</w:t>
      </w:r>
    </w:p>
    <w:p>
      <w:r>
        <w:t>Dasselbe gilt, soweit der Beschwerdeführer eine Befangenheit des Präsidenten der II. öffentlich-rechtlichen Abteilung des Bundesgerichts behauptet.</w:t>
      </w:r>
    </w:p>
    <w:p>
      <w:r>
        <w:rPr>
          <w:b/>
        </w:rPr>
        <w:t>E. 3.1</w:t>
      </w:r>
    </w:p>
    <w:p>
      <w:r>
        <w:t>Auf die Beschwerde ist durch den Abteilungspräsidenten im Verfahren nach Art. 108 Abs. 1 lit. b BGG nicht einzutreten.</w:t>
      </w:r>
    </w:p>
    <w:p>
      <w:r>
        <w:rPr>
          <w:b/>
        </w:rPr>
        <w:t>E. 3.2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