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2C_445/2019 vom 7. August 2019</w:t>
      </w:r>
    </w:p>
    <w:p>
      <w:r>
        <w:t>Bundesgericht, 2019-08-07, DE</w:t>
      </w:r>
    </w:p>
    <w:p>
      <w:r>
        <w:rPr>
          <w:b/>
        </w:rPr>
        <w:t xml:space="preserve">Quelle: </w:t>
      </w:r>
      <w:r>
        <w:t>https://mcp.opencaselaw.ch/entscheid/bger_2C_445_2019</w:t>
      </w:r>
    </w:p>
    <w:p>
      <w:r>
        <w:t>FR: TF 2C_445/2019 du 7 août 2019</w:t>
      </w:r>
    </w:p>
    <w:p>
      <w:r>
        <w:t>IT: TF 2C_445/2019 del 7 agosto 2019</w:t>
      </w:r>
    </w:p>
    <w:p>
      <w:pPr>
        <w:pStyle w:val="Heading2"/>
      </w:pPr>
      <w:r>
        <w:t>Erwägungen</w:t>
      </w:r>
    </w:p>
    <w:p>
      <w:r>
        <w:rPr>
          <w:b/>
        </w:rPr>
        <w:t>E. 1.1</w:t>
      </w:r>
    </w:p>
    <w:p>
      <w:r>
        <w:t>Die Beschwerde in öffentlich-rechtlichen Angelegenheiten ist gegen Entscheide ausgeschlossen, auf deren Erteilung weder das Bundes- noch das Völkerrecht einen Rechtsanspruch einräumen ( Art. 83 lit. c Ziff. 2 BGG ). Der Beschwerdeführer macht in vertretbarer Weise geltend, einen Anspruch auf Verlängerung seiner Aufenthaltsbewilligung zu haben ( Art. 3 Anhang 1 FZA ). Ob die Bewilligungsvoraussetzungen gegeben sind, ist eine Frage der materiellen Beurteilung und keine solche des Eintretens ( BGE 139 I 330 E. 1.1 S. 332). Da alle übrigen Sachurteilsvoraussetzungen erfüllt sind, ist auf ihre Beschwerde einzutreten.</w:t>
      </w:r>
    </w:p>
    <w:p>
      <w:r>
        <w:rPr>
          <w:b/>
        </w:rPr>
        <w:t>E. 1.2</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2C_595/2017 vom 13. April 2018 E. 2.2).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Verfassungsbezug bloss die eigene Auffassung zu unterbreiten (vgl. das Urteil 2C_317/2015 vom 1. Oktober 2015 E. 1.2; BGE 116 Ia 85 E. 2b S. 88).</w:t>
      </w:r>
    </w:p>
    <w:p>
      <w:r>
        <w:rPr>
          <w:b/>
        </w:rPr>
        <w:t>E. 1.3</w:t>
      </w:r>
    </w:p>
    <w:p>
      <w:r>
        <w:t>Der Beschwerdeführer beruft sich in seiner Beschwerdeschrift auf zahlreiche neue Beweismittel, die sich nicht in den Akten des vorangegangen Verfahrens befinden. Soweit es sich dabei um Beweismittel handelt, welche erst nach dem angefochtenen Entscheid entstanden sind, sind diese als echte Noven von vornherein unbeachtlich ( BGE 143 V 19 E. 1.2 S. 23 mit Hinweisen; vgl. auch Urteil 9C_823/2018 vom 11. Juni 2019 E. 1). Andere neue Beweismittel, sog. unechte Noven, dürfen vor Bundesgericht gemäss Art. 99 Abs. 1 BGG nur so weit vorgebracht werden, als erst der Entscheid der Vorinstanz dazu Anlass gibt. Solches ist in Bezug auf die vom Beschwerdeführer eingereichten Dokumente nicht ersichtlich; insbesondere enthält der vorinstanzliche Entscheid keine rechtlichen Argumentationen, mit denen der Beschwerdeführer nach Treu und Glauben nicht hätte rechnen müssen und die deshalb Anlass zur Ergänzung der Akten hätten geben können.</w:t>
      </w:r>
    </w:p>
    <w:p>
      <w:r>
        <w:rPr>
          <w:b/>
        </w:rPr>
        <w:t>E. 2</w:t>
      </w:r>
    </w:p>
    <w:p>
      <w:r>
        <w:t>Streitig und zu prüfen ist, ob das kantonale Gericht Bundesrecht verletzt hat, als es den Widerruf der Aufenthaltsbewilligung des Beschwerdeführers bestätigte.</w:t>
      </w:r>
    </w:p>
    <w:p>
      <w:r>
        <w:rPr>
          <w:b/>
        </w:rPr>
        <w:t>E. 3.1</w:t>
      </w:r>
    </w:p>
    <w:p>
      <w:r>
        <w:t>Eine Aufenthaltsbewilligung kann unter anderem dann widerrufen werden, wenn die ausländische Person zu einer längerfristigen Freiheitsstrafe, d.h. zu einer solchen von mehr als einem Jahr, verurteilt worden ist ( Art. 62 Abs. 1 lit. b AIG ; BGE 139 I 31 E. 2.1 S. 32). Der genannte Widerrufsgrund bildet zudem Voraussetzung für den Widerruf oder die Nichtverlängerung von EU/EFTA-Bewilligungen (vgl. Art. 2 Abs. 2 AIG ; Art. 23 Abs. 1 der Verordnung vom 22. Mai 2002 über die Einführung des freien Personenverkehrs [VEP; SR 142.203]), wobei zusätzlich jedoch die Vorgaben von Art. 5 Abs. 1 Anhang I FZA zu beachten sind. Gemäss dieser Bestimmung dürfen die durch das Abkommen gewährten Rechtsansprüche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Sicherheit weiter delinquieren wird; ebensowenig kann für die Verneinung einer Rückfallgefahr verlangt werden, dass überhaupt kein Restrisiko einer Straftat besteht (vgl. Urteil 2C_406/2014 vom 2. Juli 2015 E. 2.3 und 4.2).</w:t>
      </w:r>
    </w:p>
    <w:p>
      <w:r>
        <w:rPr>
          <w:b/>
        </w:rPr>
        <w:t>E. 3.2</w:t>
      </w:r>
    </w:p>
    <w:p>
      <w:r>
        <w:t>Hat der Ausländer einen Widerrufsgrund gesetzt und stellt er eine hinreichend schwere und gegenwärtige Gefährdung der öffentlichen Ordnung, Sicherheit oder Gesundheit im Sinne von Art. 5 Anhang I FZA dar, ist schliesslich die Verhältnismässigkeit eines Widerrufs bzw. der Nichtverlängerung der Bewilligung zu prüfen ( Art. 5 Abs. 2 BV ; Art. 96 Abs. 1 AIG ). Dies erfordert eine Interessenabwägung unter Berücksichtigung aller wesentlichen Umstände des Einzelfalls. Stellt der Widerruf oder die Nichtverlängerung der Bewilligung einen Eingriff in das durch Art. 8 Ziff. 1 EMRK geschützte Familienleben dar, ergibt sich die Notwendigkeit einer Interessenabwägung auch aus Art. 8 Ziff. 2 EMRK .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w:t>
      </w:r>
    </w:p>
    <w:p>
      <w:r>
        <w:rPr>
          <w:b/>
        </w:rPr>
        <w:t>E. 4.1</w:t>
      </w:r>
    </w:p>
    <w:p>
      <w:r>
        <w:t>Es steht fest und ist unbestritten, dass der Beschwerdeführer durch die Verurteilung des Bezirksgerichts Aarau vom 26. April 2017 zu einer Freiheitsstrafe von 22 Monaten einen Widerrufsgrund im Sinne von Art. 62 Abs. 1 lit. b AIG gesetzt hat. Das kantonale Gericht hat im Weiteren erwogen, der Beschwerdeführer stelle aufgrund der von ihm begangenen Betäubungsmitteldelikte (Mitwirkung am Handel von rund einem Kilo Kokain) weiterhin eine hinreichend schwere und gegenwärtige Gefährdung der öffentlichen Ordnung, Sicherheit oder Gesundheit im Sinne von Art. 5 Anhang I FZA dar, weshalb die Nichtverlängerung der Aufenthaltsbewilligung auch mit Blick auf die sich aus dem Freizügigkeitsabkommen fliessenden Rechte zulässig sei. Diese vorinstanzlichen Erwägungen werden vom Beschwerdeführer mit Recht nicht substanziiert bestritten.</w:t>
      </w:r>
    </w:p>
    <w:p>
      <w:r>
        <w:rPr>
          <w:b/>
        </w:rPr>
        <w:t>E. 4.2</w:t>
      </w:r>
    </w:p>
    <w:p>
      <w:r>
        <w:t>Der Beschwerdeführer bestreitet demgegenüber die Verhältnismässigkeit der Nichtverlängerung der Aufenthaltsbewilligung.</w:t>
      </w:r>
    </w:p>
    <w:p>
      <w:r>
        <w:rPr>
          <w:b/>
        </w:rPr>
        <w:t>E. 4.2.1</w:t>
      </w:r>
    </w:p>
    <w:p>
      <w:r>
        <w:t>Das kantonale Gericht hat erwogen, das aufgrund der langen Aufenthaltsdauer - der dabei erfolgten jedoch eher mangelhaften Integration in der Schweiz - bestenfalls mittlere private Interesse des Beschwerdeführers an einem weiteren Verbleib in der Schweiz erhöhe sich aufgrund seiner familiären und gesundheitlichen Situation und sei insgesamt als gross zu qualifizieren. Diesem grossen privaten Interesse stehe jedoch ein sehr grosses öffentliches Interessen an der Beendigung seines Aufenthaltes gegenüber, womit die Nichtverlängerung der Aufenthaltsbewilligung verhältnismässig sei.</w:t>
      </w:r>
    </w:p>
    <w:p>
      <w:r>
        <w:rPr>
          <w:b/>
        </w:rPr>
        <w:t>E. 4.2.2</w:t>
      </w:r>
    </w:p>
    <w:p>
      <w:r>
        <w:t>Der Beschwerdeführer beging das strafrechtlich relevante Verhalten, mit dem er einen Widerrufsgrund gesetzt hat, im Mai 2016. Somit kann entgegen seinen Ausführungen keine Rede davon sein, dass sich das öffentliche Interesse an der Beendigung seines Aufenthaltes in der Schweiz bereits alleine durch Zeitablauf seit der Tatbegehung wesentlich reduziert hätte. Kein davon abweichendes Ergebnis lässt sich auch aus der Tatsache, dass es nach seiner Verurteilung am 26. April 2017 zu keinen weiteren Strafverfahren kam, ableiten; dies gilt umso mehr, als die bei seiner Verurteilung angesetzte Probezeit von vier Jahren noch nicht abgelaufen ist (vgl. Urteile 2C_191/2014 vom 27. Februar 2014 E. 3.3.2; 2C_865/2013 vom 16. Juni 2014 E. 2.3).</w:t>
      </w:r>
    </w:p>
    <w:p>
      <w:r>
        <w:rPr>
          <w:b/>
        </w:rPr>
        <w:t>E. 4.2.3</w:t>
      </w:r>
    </w:p>
    <w:p>
      <w:r>
        <w:t>Zutreffend sind die Ausführungen des Beschwerdeführers, wonach sich seine Beziehung zu seiner Ehefrau und seiner Tochter in einem erhöhten privaten Interessen an einem Verbleib in der Schweiz niederschlägt; dieser Umstand wurde indessen von der Vorinstanz korrekterweise bereits in ihrer ausführlichen Gesamtwürdigung der Situation mitberücksichtigt. Somit vermögen seine Ausführungen nicht darzutun, inwiefern die vorinstanzlichen Erwägungen bundesrechtswidrig sein sollten. Demnach ist mit der Vorinstanz zwar von einem hohen privaten Interesse an einer Verlängerung der Aufenthaltsbewilligung auszugehen; dieses grosse private Interesse vermag indessen das sehr grosse öffentliche Interesse an der Beendigung seines Aufenthaltes nicht aufzuwiegen.</w:t>
      </w:r>
    </w:p>
    <w:p>
      <w:r>
        <w:rPr>
          <w:b/>
        </w:rPr>
        <w:t>E. 4.3</w:t>
      </w:r>
    </w:p>
    <w:p>
      <w:r>
        <w:t>Erweist sich demnach die Nichtverlängerung der Aufenthaltsbewilligung als verhältnismässig, ist die Beschwerde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