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444/2008 vom 9. März 2009</w:t>
      </w:r>
    </w:p>
    <w:p>
      <w:r>
        <w:t>Bundesgericht, 2009-03-09, DE</w:t>
      </w:r>
    </w:p>
    <w:p>
      <w:r>
        <w:rPr>
          <w:b/>
        </w:rPr>
        <w:t xml:space="preserve">Quelle: </w:t>
      </w:r>
      <w:r>
        <w:t>https://mcp.opencaselaw.ch/entscheid/bger_2C_444_2008</w:t>
      </w:r>
    </w:p>
    <w:p>
      <w:r>
        <w:t>FR: TF 2C 444/2008 du 9 mars 2009</w:t>
      </w:r>
    </w:p>
    <w:p>
      <w:r>
        <w:t>IT: TF 2C 444/2008 del 9 marzo 2009</w:t>
      </w:r>
    </w:p>
    <w:p>
      <w:pPr>
        <w:pStyle w:val="Heading2"/>
      </w:pPr>
      <w:r>
        <w:t>Regeste</w:t>
      </w:r>
    </w:p>
    <w:p>
      <w:r>
        <w:t>Erschliessungsbeiträge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rPr>
          <w:b/>
        </w:rPr>
        <w:t>E. 1.2</w:t>
      </w:r>
    </w:p>
    <w:p>
      <w:r>
        <w:t>Die Beschwerdeführerin beruft sich für ihre Legitimation nicht auf die Gemeindeautonomie ( Art. 89 Abs. 2 lit. c BGG ). Nach der Rechtsprechung kann sich ein Gemeinwesen auf das allgemeine Beschwerderecht von Art. 89 Abs. 1 BGG berufen, wenn es durch den angefochtenen Hoheitsakt gleich oder ähnlich wie ein Privater betroffen oder in schutzwürdigen eigenen hoheitlichen Interessen berührt ist (vgl. zum Ganzen BGE 134 II 45 E. 2.2.1 S. 46 f.; 133 II 400 E. 2.4.2 S. 406, je mit Hinweisen; zur Publ. bestimmte Urteile 2C_15/2008 vom 13. Oktober 2008, E. 1.2.1, sowie 2C_609/2007 vom 27. November 2008, E. 1.3). Letzteres kann unter anderem bei vermögensrechtlichen Interessen der Fall sein, wenn das Gemeinwesen als Gläubiger von Kausalabgaben in Erscheinung tritt ( BGE 134 II 45 E. 2.2.1 S. 47 mit Hinweisen). Vorliegend steht die Erhebung von Grundeigentümerbeiträgen für eine Erschliessungsstrasse in Frage. Als für das betreffende Bauunterfangen verantwortliches Gemeinwesen erscheint die beschwerdeführende Gemeinde, welche am Verfahren vor der Vorinstanz teilgenommen hat und unterlegen ist, mit Blick auf die Tragweite der Streitsache als in schutzwürdigen eigenen hoheitlichen Interessen berührt (vgl. Urteil 2C_712/2008 vom 24. Dezember 2008, E. 1.3). Ihre Beschwerdelegitimation lässt sich demzufolge (auch) aus Art. 89 Abs. 1 BGG ableiten.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Die Beschwerdeführerin rügt zunächst eine Verletzung des rechtlichen Gehörs: Der Einwand des fehlenden Wegrechts sei erstmals am Augenschein vor Verwaltungsgericht erhoben worden, so dass die Gemeinde zu diesem entscheidwesentlichen Argument nicht ausreichend habe Stellung nehmen können.</w:t>
      </w:r>
    </w:p>
    <w:p>
      <w:r>
        <w:rPr>
          <w:b/>
        </w:rPr>
        <w:t>E. 2.2</w:t>
      </w:r>
    </w:p>
    <w:p>
      <w:r>
        <w:t>Nach der Rechtsprechung verlangt der Anspruch auf rechtliches Gehör gemäss Art. 29 Abs. 2 BV nicht, dass eine Partei Gelegenheit erhalten muss, sich zu jedem möglichen Ergebnis, das von der entscheidenden Behörde ins Auge gefasst wird, zu äussern. Die Behörde braucht insofern ihre Begründung den Parteien nicht vorweg zur Stellungnahme zu unterbreiten. Es genügt, dass sich die Parteien zu den Grundlagen des Entscheids, insbesondere zum Sachverhalt sowie zu den anwendbaren Rechtsnormen, vorweg äussern und ihre Standpunkte einbringen können ( BGE 132 II 485 E. 3.4 S. 495 mit Hinweis). Ein Recht auf vorgängige Anhörung besteht insbesondere dann, wenn ein Gericht seinen Entscheid mit einer Rechtsnorm oder einem Rechtsgrund zu begründen beabsichtigt, die im bisherigen Verfahren nicht herangezogen wurden, auf die sich die Parteien nicht berufen haben und mit deren Erheblichkeit im konkreten Fall sie nicht rechnen konnten (vgl. BGE 128 V 272 E. 5b/bb S. 278; 116 V 182 E. 1a S. 185; 115 Ia 94 E. 1b S. 96 f. mit Hinweisen).</w:t>
      </w:r>
    </w:p>
    <w:p>
      <w:r>
        <w:rPr>
          <w:b/>
        </w:rPr>
        <w:t>E. 2.3</w:t>
      </w:r>
    </w:p>
    <w:p>
      <w:r>
        <w:t>Vorliegend trifft zwar zu, dass in den Rechtsschriften des kantonalen Verfahrens sowohl vor der Schätzungskommission wie auch vor Verwaltungsgericht der Einwand des fehlenden Wegrechtes nie erhoben wurde. Der Punkt kam jedoch gemäss eigener Darstellung der Gemeinde an der Augenscheinsverhandlung vor Verwaltungsgericht zur Sprache. Die anwesenden Gemeindevertreter, insbesondere der von der Gemeinde mandatierte Rechtsanwalt, konnten hiezu mündlich Stellung nehmen und hätten zudem beantragen können, ihren Standpunkt zu dieser neu aufgeworfenen Frage in einer schriftlichen Eingabe näher zu begründen. Dass ein solches Begehren erfolglos gestellt worden sei, wird von der Beschwerdeführerin nicht behauptet. Eine Verletzung des rechtlichen Gehörs liegt damit nicht vor.</w:t>
      </w:r>
    </w:p>
    <w:p>
      <w:r>
        <w:rPr>
          <w:b/>
        </w:rPr>
        <w:t>E. 3.1</w:t>
      </w:r>
    </w:p>
    <w:p>
      <w:r>
        <w:t>Die Beschwerdeführerin rügt eine offensichtlich unrichtige Sachverhaltsfeststellung: Es treffe nicht zu, dass zwischen den beteiligten Grundeigentümern noch ein Dienstbarkeitsvertrag abgeschlossen werden müsse. Die Beschwerdeführerin könne das Benützungsrecht der Öffentlichkeit an der im Beitragsplan als "private Erschliessungsanlage" bezeichneten Fläche auf den privaten Grundstücken gestützt auf § 104 des Solothurnischen Planungs- und Baugesetzes vom 3. Dezember 1978 (im Folgenden: PBG/SO) verfügen und die Eintragung im Grundbuch erwirken. Der Beschwerdegegner müsse zur Erlangung des Wegrechts nichts vorkehren und es erwüchsen ihm daraus auch keine Kosten. Die Voraussetzungen für die Beitragspflicht des Beschwerdegegners seien mithin erfüllt. Im Weiteren macht die Beschwerdeführerin geltend, es sei überspitzt formalistisch bzw. unverhältnismässig, wenn das aufwendige mehrjährige Beitragsverfahren allein deshalb neu eröffnet werden müsse, weil es an der formellen Voraussetzung des Eintrages eines öffentlichen Benützungsrechts an der Erschliessungsfläche im Grundbuch fehle.</w:t>
      </w:r>
    </w:p>
    <w:p>
      <w:r>
        <w:rPr>
          <w:b/>
        </w:rPr>
        <w:t>E. 3.2</w:t>
      </w:r>
    </w:p>
    <w:p>
      <w:r>
        <w:t>Die Rügen des überspitzten Formalismus sowie der Missachtung des Grundsatzes der Verhältnismässigkeit laufen sachlich auf eine Geltendmachung des Willkürverbots hinaus und stehen in einem engen Zusammenhang mit der als Sachverhaltsrüge vorgebrachten Behauptung, die Begründung einer privatrechtlichen Wegdienstbarkeit sei wegen der Möglichkeit der Statuierung eines öffentlichen Wegrechts gemäss § 104 PBG /SO überflüssig. Die genannte Bestimmung sieht vor, dass die Baubehörde die Mitbenützung einer privaten Erschliessungsanlage nach Anhörung der Beteiligten verfügen kann, soweit dies angezeigt und zumutbar ist (Abs. 1), bzw. dass die Grundeigentümer Erschliessungsanlagen zu dulden haben, deren Lage durch einen Nutzungsplan oder durch die Baubehörde vorgeschrieben wird (Abs. 2); die Belasteten sind zu entschädigen (Abs. 3).</w:t>
      </w:r>
    </w:p>
    <w:p>
      <w:r>
        <w:rPr>
          <w:b/>
        </w:rPr>
        <w:t>E. 3.3</w:t>
      </w:r>
    </w:p>
    <w:p>
      <w:r>
        <w:t>Der im Jahre 2004 vom Regierungsrat genehmigte Gestaltungsplan "Widistrasse" regelt unter anderem auch die Erschliessung des Grundstücks GB Nr. ________ des Beschwerdegegners. Die Vorgaben dieses Planes sind für die beteiligten Grundeigentümer verbindlich, was bei gemeinsamen Erschliessungsanlagen entsprechende Vereinbarungen unter diesen voraussetzt. Bei Vorliegen eines Gestaltungsplanes kann insoweit von der (sachenrechtlichen) Realisierbarkeit der darin vorgesehenen privaten Erschliessungsflächen ausgegangen werden. Ob vorliegend die Mitbenützung des Weges über das Nachbargrundstück der Parzelle Nr. ________ zwischen den beteiligten Grundeigentümern noch vertraglich vereinbart werden müsste oder aber schon unmittelbar aufgrund des rechtskräftigen Gestaltungsplanes verlangt bzw. gestützt auf die Regelung von § 104 PBG /SO erwirkt werden könnte, bedarf vorliegend keiner weiteren Prüfung. Die Gemeinde setzt sich in ihrer Beschwerdeschrift weder mit der Tragweite der genannten Bestimmung und der weiteren einschlägigen Vorschriften (vgl. etwa § 44 Abs. 3 PBG /SO, wonach die Gestaltungspläne die Erstellung und Benützung privater Erschliessungsanlagen von gemeinsamem Interesse regeln können) noch mit der gegenteiligen Rechtsauffassung des Verwaltungsgerichts näher auseinander. Sie begnügt sich vielmehr einzig mit einem Hinweis auf den Beitragsplan "Zeisigweg West", wo die betreffende Erschliessungsfläche mit dem Vermerk "private Erschliessungsanlage; wird nicht belastet, da der Öffentlichkeit zugänglich" figurierte. Die Gemeinde tut jedoch nicht dar, gestützt auf welche Gesetzesbestimmung oder auf welche sonstigen bestehenden nutzungsrechtlichen Vorgaben dieser - an sich nur die Kostenverteilung betreffende - Vermerk im Beitragsplan eine verbindliche Anordnung darstellen soll, welche die vom Verwaltungsgericht behaupteten rechtlichen Schwierigkeiten einer Mitbenützung des Erschliessungsweges durch den Beschwerdegegner hinfällig werden lässt. Wohl spricht einiges für den Standpunkt der Gemeinde, welche die im rechtskräftigen Gestaltungsplan vorgesehene Erschliessung des Grundstückes Nr. ________ als realisierbar betrachtet und gestützt hierauf auch für diese Parzelle einen entsprechenden Erschliessungsbeitrag erheben will. In der Beschwerdeschrift wird jedoch nicht bzw. nicht in einer den Anforderungen von Art. 106 Abs. 2 BGG genügenden Weise dargetan, wieso der Entscheid des Verwaltungsgerichts, welches offenbar den besonderen Umständen des Zustandekommens des Gestaltungsplanes Rechnung tragen wollte, geradezu unhaltbar sein soll.</w:t>
      </w:r>
    </w:p>
    <w:p>
      <w:r>
        <w:rPr>
          <w:b/>
        </w:rPr>
        <w:t>E. 4</w:t>
      </w:r>
    </w:p>
    <w:p>
      <w:r>
        <w:t>Nach dem Gesagten ist die Beschwerde in öffentlich-rechtlichen Angelegenheiten als unbegründet abzuweisen, soweit darauf einzutreten ist. Dem Verfahrensausgang entsprechend wird die unterliegende Einwohnergemeinde Zuchwil, welche mit ihrer Beschwerde vermögensrechtliche Interessen wahrgenommen hat, kostenpflichtig ( Art. 66 Abs. 4 BGG ). Zudem hat sie den anwaltlich vertretenen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