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2C_439/2009 vom 10. September 2009</w:t>
      </w:r>
    </w:p>
    <w:p>
      <w:r>
        <w:t>Bundesgericht, 2009-09-10, FR</w:t>
      </w:r>
    </w:p>
    <w:p>
      <w:r>
        <w:rPr>
          <w:b/>
        </w:rPr>
        <w:t xml:space="preserve">Quelle: </w:t>
      </w:r>
      <w:r>
        <w:t>https://mcp.opencaselaw.ch/entscheid/bger_2C_439_2009</w:t>
      </w:r>
    </w:p>
    <w:p>
      <w:r>
        <w:t>FR: TF 2C_439/2009 du 10 septembre 2009</w:t>
      </w:r>
    </w:p>
    <w:p>
      <w:r>
        <w:t>IT: TF 2C_439/2009 del 10 settembre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procédure de renouvellement ayant débuté avant le 1er janvier 2008, la présente affaire doit être examinée à la lumière de l'ancienne loi fédérale sur le séjour et l'établissement des étrangers (LSEE).</w:t>
      </w:r>
    </w:p>
    <w:p>
      <w:r>
        <w:rPr>
          <w:b/>
        </w:rPr>
        <w:t>E. 2.1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arrêt 2C_29/2009 du 29 mai 2009, consid. 2.1; ATF 126 II 265 consid. 1b p. 266).</w:t>
      </w:r>
    </w:p>
    <w:p>
      <w:r>
        <w:t>La recourante est mariée à un Suisse. Son recours est donc recevable sous cet angle. La question de savoir si le refus de renouveler l'autorisation de séjour se justifie en raison d'un abus du droit prévu par l' art. 7 LSEE ne concerne pas la recevabilité du recours, mais doit être examinée au fond ( ATF 126 II 265 consid. 1b p. 266 et les références citées).</w:t>
      </w:r>
    </w:p>
    <w:p>
      <w:r>
        <w:rPr>
          <w:b/>
        </w:rPr>
        <w:t>E. 2.2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judiciaire supérieure de dernière instance (art. 86 al. 1 lettre d et al. 2 LTF). Déposé dans le délai ( art. 100 al. 1 LTF ) et la forme ( art. 42 LTF ) prévus par la loi, il est en principe recevable.</w:t>
      </w:r>
    </w:p>
    <w:p>
      <w:r>
        <w:rPr>
          <w:b/>
        </w:rPr>
        <w:t>E. 3.1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relatives à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t>L'existence d'un abus de droit découlant du fait de se prévaloir de l' art. 7 al. 1 LSEE ne peut être simplement déduite de ce que les époux ne vivent plus ensemble, puisque le législateur a volontairement renoncé à faire dépendre le droit à une autorisation de séjour du conjoint étranger d'un ressortissant suisse de la vie commune (cf. ATF 118 Ib 145 consid. 3 p. 149 ss; confirmé notamment in arrêt 2C_278/2008 du 18 juin 2008 consid. 4.1).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3.2</w:t>
      </w:r>
    </w:p>
    <w:p>
      <w:r>
        <w:t>La recourante reproche au Tribunal cantonal d'avoir admis qu'il était abusif de sa part de se prévaloir de son mariage. Selon elle, le simple fait de ne plus vivre avec son époux ne permettrait pas de conclure à un abus de droit. En effet, la demande en divorce a été retirée, son époux avait au surplus reconnu ses torts. Les époux se voient encore. La séparation n'a été décidée que pour permettre à B.X.________ d'assumer son rôle de père. Il n'y a par conséquent pas de volonté exprimée de mettre fin à l'union conjugale. En outre, le mariage n'a pas uniquement pour but d'avoir une descendance, de sorte que l'absence d'enfant ne saurait entraîner le refus de renouveler l'autorisation de séjour. Enfin, toujours de l'avis de la recourante, l'indépendance financière des époux ne joue à cet égard aucun rôle.</w:t>
      </w:r>
    </w:p>
    <w:p>
      <w:r>
        <w:t>Les critiques de la recourante examinent isolément les indices retenus par le Tribunal cantonal. Elle perd de vue que, dans son arrêt, le Tribunal cantonal a pris en considération un faisceau d'indices convergents. Il a en effet retenu la brièveté de la vie commune, l'absence de volonté des époux de reprendre une telle vie, l'absence d'enfant commun, l'absence d'éléments concrets tendant à démontrer l'existence d'une vie conjugale, la durée de la séparation - plus longue que celle de la vie commune, ainsi que l'indépendance financière des époux. C'est par conséquent à bon droit qu'il a jugé que cette accumulation d'indices démontrait que l'union conjugale était définitivement rompue et que le refus de renouveler le permis de séjour était justifié.</w:t>
      </w:r>
    </w:p>
    <w:p>
      <w:r>
        <w:rPr>
          <w:b/>
        </w:rPr>
        <w:t>E. 4</w:t>
      </w:r>
    </w:p>
    <w:p>
      <w:r>
        <w:t>Les considérants qui précèdent conduisent au rejet du recours, dans la mesure où il est recevable. Le recours était dénué de chances de succès, de sorte que la requête d'assistance judiciaire doit être rejetée (cf. art. 64 al. 1 et 2 LTF a contrario). Succombant, la recourante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