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438/2018 vom 28. Mai 2018</w:t>
      </w:r>
    </w:p>
    <w:p>
      <w:r>
        <w:t>Bundesgericht, 2018-05-28, IT</w:t>
      </w:r>
    </w:p>
    <w:p>
      <w:r>
        <w:rPr>
          <w:b/>
        </w:rPr>
        <w:t xml:space="preserve">Quelle: </w:t>
      </w:r>
      <w:r>
        <w:t>https://mcp.opencaselaw.ch/entscheid/bger_2C_438_2018</w:t>
      </w:r>
    </w:p>
    <w:p>
      <w:r>
        <w:t>FR: TF 2C 438/2018 du 28 mai 2018</w:t>
      </w:r>
    </w:p>
    <w:p>
      <w:r>
        <w:t>IT: TF 2C 438/2018 del 28 maggio 2018</w:t>
      </w:r>
    </w:p>
    <w:p>
      <w:pPr>
        <w:pStyle w:val="Heading2"/>
      </w:pPr>
      <w:r>
        <w:t>Regeste</w:t>
      </w:r>
    </w:p>
    <w:p>
      <w:r>
        <w:t>Imposta cantonale del Cantone Ticino 2010-2013, imposta federale diretta 2010-2013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II Tribunale federale esamina d'ufficio e con piena cognizione la sua competenza ( art. 29 cpv. 1 LTF ) e l'ammissibilità dei gravami che gli vengono sottoposti ( DTF 140 I 252 consid. 1 pag. 254; 139 V 42 consid. 1 pag. 44).</w:t>
      </w:r>
    </w:p>
    <w:p>
      <w:r>
        <w:rPr>
          <w:b/>
        </w:rPr>
        <w:t>E. 1.2</w:t>
      </w:r>
    </w:p>
    <w:p>
      <w:r>
        <w:t>Il ricorso concerne una causa di diritto pubblico che non ricade sotto nessuna delle eccezioni previste dall' art. 83 LTF ed è diretto contro una decisione finale ( art. 90 LTF ) resa in ultima istanza cantonale da un tribunale superiore (art. 86 cpv. 1 lett. d e cpv. 2 LTF). Esso è stato presentato nei termini dalla destinataria del giudizio contestato ( art. 100 cpv. 1 LTF ), con interesse all'annullamento dello stesso ( art. 89 cpv. 1 LTF ), e va pertanto trattato quale ricorso in materia di diritto pubblico giusta l'art. 82 segg. LTF (al riguardo, cfr. anche l' art. 73 LAID [RS 642.14]; sulla portata di questa norma in relazione con la legge sul Tribunale federale, vedasi DTF 134 II 186 consid. 1.3 pag. 188).</w:t>
      </w:r>
    </w:p>
    <w:p>
      <w:r>
        <w:rPr>
          <w:b/>
        </w:rPr>
        <w:t>E. 2.1</w:t>
      </w:r>
    </w:p>
    <w:p>
      <w:r>
        <w:t>Giusta 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Il Tribunale federale esamina in linea di massima solo le censure sollevate; esso non è tenuto a vagliare, come lo farebbe un'autorità di prima istanza, tutte le questioni giuridiche che si pongono, se queste ultime non sono sollevate in sede federale.</w:t>
      </w:r>
    </w:p>
    <w:p>
      <w:r>
        <w:rPr>
          <w:b/>
        </w:rPr>
        <w:t>E. 2.2</w:t>
      </w:r>
    </w:p>
    <w:p>
      <w:r>
        <w:t>Nella fattispecie, la ricorrente si limita a descrivere la sua situazione nonché ad esporre la propria opinione, ossia che sarebbe ingiusto non considerare la perdita finanziaria subita come costo fiscalmente deducibile, dato che "l'apporto (...) è un valore certo essendo il titolo trasferito quotato alla borsa svizzera" e che, a torto, le autorità cantonali non avrebbero dato la giusta importanza al contratto d'apporto. Essa tuttavia non espone in maniera sufficiente i motivi per i quali la pronuncia impugnata sarebbe contraria al diritto rispettivamente non si confronta nelle debite forme con i motivi che hanno indotto la Camera di diritto tributario a rendere il giudizio querelato. Ora una simile argomentazione non rispetta le esigenze di motivazione poste dall' art. 42 cpv. 2 LTF , motivo per cui l'impugnativa sfugge ad un esame di merito.</w:t>
      </w:r>
    </w:p>
    <w:p>
      <w:r>
        <w:rPr>
          <w:b/>
        </w:rPr>
        <w:t>E. 3.1</w:t>
      </w:r>
    </w:p>
    <w:p>
      <w:r>
        <w:t>Premesse queste considerazioni il ricorso, che non contiene 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3.2</w:t>
      </w:r>
    </w:p>
    <w:p>
      <w:r>
        <w:t>Le spese giudiziarie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