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2C_434/2013 vom 18. Oktober 2013</w:t>
      </w:r>
    </w:p>
    <w:p>
      <w:r>
        <w:t>Bundesgericht, 2013-10-18, DE</w:t>
      </w:r>
    </w:p>
    <w:p>
      <w:r>
        <w:rPr>
          <w:b/>
        </w:rPr>
        <w:t xml:space="preserve">Quelle: </w:t>
      </w:r>
      <w:r>
        <w:t>https://mcp.opencaselaw.ch/entscheid/bger_2C_434_2013</w:t>
      </w:r>
    </w:p>
    <w:p>
      <w:r>
        <w:t>FR: TF 2C_434/2013 du 18 octobre 2013</w:t>
      </w:r>
    </w:p>
    <w:p>
      <w:r>
        <w:t>IT: TF 2C_434/2013 del 18 ottobre 2013</w:t>
      </w:r>
    </w:p>
    <w:p>
      <w:pPr>
        <w:pStyle w:val="Heading2"/>
      </w:pPr>
      <w:r>
        <w:t>Erwägungen</w:t>
      </w:r>
    </w:p>
    <w:p>
      <w:r>
        <w:rPr>
          <w:b/>
        </w:rPr>
        <w:t>E. 1</w:t>
      </w:r>
    </w:p>
    <w:p>
      <w:r>
        <w:t>Die Beschwerde in öffentlich-rechtlichen Angelegenheiten ist zulässig (Art. 82 lit. a, Art. 86 Abs. 1 lit. a, Art. 90 und 100 Abs. 1 BGG ) und die Beschwerdeführerin als zur Kostentragung Verpflichtete ist dazu legitimiert ( Art. 89 Abs. 1 BGG ). Streitgegenstand ist letztinstanzlich einzig noch die Verteilung der Kosten des vorinstanzlichen Verfahrens.</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 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Urteile 2C_465/2012 vom 29. Oktober 2012 E. 3; 2C_491/2007 vom 30. April 2008 E. 3;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2C_465/2012 vom 29. Oktober 2012 E. 3;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2008, S. 216 Rz. 4.70; KÖLZ/HÄNER/BERTSCHI, a.a.O., S. 412 Rz. 1184).</w:t>
      </w:r>
    </w:p>
    <w:p>
      <w:r>
        <w:rPr>
          <w:b/>
        </w:rPr>
        <w:t>E. 3.1</w:t>
      </w:r>
    </w:p>
    <w:p>
      <w:r>
        <w:t>Vorliegend ist nicht umstritten, dass die heutigen Beschwerdegegnerinnen vor Bundesverwaltungsgericht obsiegt haben. Es können ihnen daher keine Kosten auferlegt werden und sie haben Anspruch auf Parteientschädigung. Sodann anerkennt die Beschwerdeführerin, dass sie 1/5 der Kosten und Entschädigungen zu tragen hat, weil die Vorinstanz auf ihren in der Beschwerdeantwort gestellten Eventualantrag nicht eingetreten ist. Streitig ist, durch wen die übrigen 4/5 der Verfahrenskosten und Parteientschädigungen zu bezahlen sind.</w:t>
      </w:r>
    </w:p>
    <w:p>
      <w:r>
        <w:rPr>
          <w:b/>
        </w:rPr>
        <w:t>E. 3.2</w:t>
      </w:r>
    </w:p>
    <w:p>
      <w:r>
        <w:t>Die ElCom hat im Ausgangsverfahren als Vorinstanz des Bundesverwaltungsgerichts entschieden. Ihr können daher gemäss Art. 63 Abs. 2 VwVG keine Verfahrenskosten auferlegt werden. Soweit sie nicht der Beschwerdeführerin als unterliegender Partei ( Art. 63 Abs. 1 VwVG ) auferlegt werden können, ist daher auf eine Kostenerhebung zu verzichten. Demgegenüber hat die ElCom die Parteientschädigungen an die obsiegenden (heutigen) Beschwerdegegnerinnen zu tragen, soweit sie nicht einer "unterliegenden Gegenpartei" auferlegt werden können ( Art. 64 Abs. 2 VwVG ). Sowohl in Bezug auf die Verfahrenskosten als auch auf die Parteientschädigungen ist daher entscheidend, ob die Beschwerdeführerin als unterliegende Partei betrachtet werden kann.</w:t>
      </w:r>
    </w:p>
    <w:p>
      <w:r>
        <w:rPr>
          <w:b/>
        </w:rPr>
        <w:t>E. 3.3</w:t>
      </w:r>
    </w:p>
    <w:p>
      <w:r>
        <w:t>Mit der Verfügung vom 4. März 2010 hat die ElCom gemäss Art. 22 Abs. 2 lit. b StromVG die Kostenkomponenten festgelegt, welche die Beschwerdeführerin als nationale Netzgesellschaft für den Betrieb des gesamtschweizerischen Übertragungsnetzes ( Art. 18 und 20 Abs. 2 lit. a StromVG ) erheben kann ( Art. 14 ff. StromVG ). Die Höhe dieser Kosten berührt die Rechte der Beschwerdeführerin. Diese ist daher Partei (vorne E. 2.3) und wurde von der ElCom wie von der Vorinstanz zu Recht als solche behandelt.</w:t>
      </w:r>
    </w:p>
    <w:p>
      <w:r>
        <w:rPr>
          <w:b/>
        </w:rPr>
        <w:t>E. 3.4</w:t>
      </w:r>
    </w:p>
    <w:p>
      <w:r>
        <w:t>Die Beschwerdeführerin legt in Anwendung der gesetzlichen Bestimmungen ihre Netznutzungstarife und -entgelte fest ( Art. 18 Abs. 1 StromVV ), die sie den Netznutzern in Rechnung stellt ( Art. 14 Abs. 2 StromVG ). Das Stromversorgungsgesetz sieht dafür keine präventive Genehmigungspflicht vor ( BGE 138 II 465 E. 8.6.4 S. 496). Die ElCom kann aber die von den Netzbetreibern festgesetzten Tarife überprüfen und gegebenenfalls absenken ( Art. 22 Abs. 2 lit. a und lit. b StromVG ). Der Tarif, den die Beschwerdeführerin festgelegt hat bzw. anwenden will, ist im Verfahren vor der ElCom sinngemäss als Antrag der Beschwerdeführerin zu verstehen, auch wenn sie nicht formell einen Antrag stellt. Die von der ElCom erlassene Verfügung legt die Einnahmen fest, welche die Beschwerdeführerin für die von ihr erbrachten Leistungen beziehen kann. Wird die Verfügung der ElCom von Dritten angefochten mit dem Antrag, die Tarife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(vorne E. 2.4; Urteil 2C_572/2012 vom 27. März 2013 E. 4). Dass die Beschwerdeführerin eine gesetzliche Aufgabe erfüllt und dabei die massgebenden Bestimmungen einzuhalten hat, ändert daran nichts, ebenso wenig der Umstand, dass sie letztlich die entgangenen Einnahmen nicht selber trägt, sondern auf andere Kostenpflichtige überwälzt. Es verhält sich analog, wie wenn die Eidgenössische Schiedskommission für die Verwertung von Urheberrechten einen von den Verwertungsgesellschaften aufgestellten Tarif genehmigt ( Art. 46 und 59 URG [SR 231.1]) : Wird dieser Tarif auf dem Rechtsmittelwege zum Nachteil der Verwertungsgesellschaft geändert, so ist diese unterliegende und damit kostenpflichtige Partei (Urteil 2C_658/2008 vom 18. März 2009 E. 1.4 und 3.3, nicht publ. in: BGE 135 II 172 ), obwohl auch sie eine gesetzlich festgelegte Aufgabe wahrnimmt und ihre Einnahmen letztlich nicht ihr selber zukommen, sondern den Rechteinhabern.</w:t>
      </w:r>
    </w:p>
    <w:p>
      <w:r>
        <w:rPr>
          <w:b/>
        </w:rPr>
        <w:t>E. 3.5</w:t>
      </w:r>
    </w:p>
    <w:p>
      <w:r>
        <w:t>Die ElCom hat in Ziff. 12 ihrer Verfügung festgelegt, dass die Beschwerdeführerin den Betrag von voraussichtlich rund 23,4 Mio. Franken den Vertragsparteien von internationalen Energiebezugs- und Lieferverträgen nach Art. 17 Abs. 2 StromVG anzulasten hat. In diesem Umfang hätte also die Beschwerdeführerin Einnahmen erhalten. Auf Beschwerde betroffener Vertragsparteien hin hat die Vorinstanz Ziff. 12 der Verfügung aufgehoben. Dies hat zur Folge, dass die Beschwerdeführerin den entsprechenden Betrag nicht von den Beschwerdegegnerinnen erheben kann, wodurch sich ihre Einnahmen reduzieren. Die Beschwerdeführerin hat denn auch vor der Vorinstanz sich zwar nicht zum Hauptantrag der heutigen Beschwerdegegnerinnen geäussert, aber mit ihrem Eventualantrag darauf hingewiesen, dass durch die Aufhebung von Ziff. 12 der ElCom-Verfügung eine Unterdeckung eintreten wird. Sie ist daher materiell notwendige Gegenpartei der heutigen Beschwerdegegnerinnen.</w:t>
      </w:r>
    </w:p>
    <w:p>
      <w:r>
        <w:rPr>
          <w:b/>
        </w:rPr>
        <w:t>E. 3.6</w:t>
      </w:r>
    </w:p>
    <w:p>
      <w:r>
        <w:t>Die Beschwerdeführerin beruft sich auf BGE 138 II 465 , wo das Bundesgericht die Kosten nicht der Beschwerdeführerin, sondern der ElCom auferlegt hatte (nicht publ. E. 11) : Dort war aber die Konstellation anders: Die ElCom hatte die von der Swissgrid festgelegten Tarife abgesenkt. Dagegen erhoben Energieversorgungsunternehmen, welche damals noch Eigentümer des Übertragungsnetzes waren ( Art. 33 Abs. 4 StromVG ), Beschwerde mit dem Antrag, es seien höhere anrechenbare Betriebs- und Kapitalkosten zu berücksichtigen als diejenigen, welche die ElCom anerkannt hatte. Die (teilweise) Gutheissung der Beschwerde hatte zur Folge, dass die Netznutzungstarife und damit auch die Einnahmen der Swissgrid anstiegen; diese hatte die gleichläufigen Interessen wie die obsiegenden Beschwerdeführer, weshalb sie nicht als unterliegende Partei betrachtet werden konnte. Im vorliegenden Verfahren sind ihre Interessen jedoch gegenläufig zu denjenigen der heutigen Beschwerdegegnerinnen.</w:t>
      </w:r>
    </w:p>
    <w:p>
      <w:r>
        <w:rPr>
          <w:b/>
        </w:rPr>
        <w:t>E. 3.7</w:t>
      </w:r>
    </w:p>
    <w:p>
      <w:r>
        <w:t>Die Beschwerdeführerin ist daher im Verfahren vor der Vorinstanz im Sinne der dargelegten Rechtslage (vgl. vorne E. 2.4 und 2.5) als vollumfänglich unterliegend zu betrachten, auch wenn sie formell in der Hauptsache keinen Antrag gestellt hat. Demzufolge hat die Vorinstanz entgegen der Auffassung der Beschwerdeführerin auch nicht die Begründungspflicht verletzt, wenn sie sich nicht zum Ausmass des Obsiegens und Unterliegens geäussert hat.</w:t>
      </w:r>
    </w:p>
    <w:p>
      <w:r>
        <w:rPr>
          <w:b/>
        </w:rPr>
        <w:t>E. 4</w:t>
      </w:r>
    </w:p>
    <w:p>
      <w:r>
        <w:t>Die Beschwerde erweist sich damit als unbegründet. Die Beschwerdeführerin trägt die Kosten des bundesgerichtlichen Verfahrens ( Art. 66 Abs. 1 BGG ) und hat den Beschwerdegegnerinnen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