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2C_432/2019 vom 13. Mai 2019</w:t>
      </w:r>
    </w:p>
    <w:p>
      <w:r>
        <w:t>Bundesgericht, 2019-05-13, FR</w:t>
      </w:r>
    </w:p>
    <w:p>
      <w:r>
        <w:rPr>
          <w:b/>
        </w:rPr>
        <w:t xml:space="preserve">Quelle: </w:t>
      </w:r>
      <w:r>
        <w:t>https://mcp.opencaselaw.ch/entscheid/bger_2C_432_2019</w:t>
      </w:r>
    </w:p>
    <w:p>
      <w:r>
        <w:t>FR: TF 2C_432/2019 du 13 mai 2019</w:t>
      </w:r>
    </w:p>
    <w:p>
      <w:r>
        <w:t>IT: TF 2C_432/2019 del 13 maggio 2019</w:t>
      </w:r>
    </w:p>
    <w:p>
      <w:pPr>
        <w:pStyle w:val="Heading2"/>
      </w:pPr>
      <w:r>
        <w:t>Erwägungen</w:t>
      </w:r>
    </w:p>
    <w:p>
      <w:r>
        <w:rPr>
          <w:b/>
        </w:rPr>
        <w:t>E. 1</w:t>
      </w:r>
    </w:p>
    <w:p>
      <w:r>
        <w:t>Par arrêt du 26 mars 2019, la Cour de justice du canton de Genève a déclaré irrecevable pour dépôt tardif le recours que X.________ avait déposé le 25 janvier 2019 contre le jugement du 3 décembre 2018 du Tribunal administratif de première instance du canton de Genève, notifié le 14 décembre 2018, confirmant la décision du réclamation du 2 janvier 2018 de l'Administration fiscale du canton de Genève en matière d'impôt fédéral direct, cantonal et communal 2016.</w:t>
      </w:r>
    </w:p>
    <w:p>
      <w:r>
        <w:rPr>
          <w:b/>
        </w:rPr>
        <w:t>E. 2</w:t>
      </w:r>
    </w:p>
    <w:p>
      <w:r>
        <w:t>Par courrier du 9 mai 2019, X.________ a déposé un recours de droit public contre l'arrêt rendu le 26 mars 2019 par la Cour de justice du canton de Genève. Il reproche à la Cour de justice ainsi qu'aux instances précédentes de n'avoir pas tenu compte de son statut d'invalide et d'avoir modifié de manière illicite la valeur fiscale de la maison héritée de sa mère.</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que sur l'irrecevabilité du recours interjeté devant l'instance précédente en raison de son dépôt hors du délai légal de recours. Il ne peut par conséquent pas porter sur le contenu de la taxation. Le recourant ne formule des griefs qu'à l'encontre du contenu de la taxation mais aucun grief ni aucune conclusion dirigé contre l'irrecevabilité prononcée par l'instance précédente.</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