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2C_425/2022 vom 12. Juli 2023</w:t>
      </w:r>
    </w:p>
    <w:p>
      <w:r>
        <w:t>Bundesgericht, 2023-07-12, FR</w:t>
      </w:r>
    </w:p>
    <w:p>
      <w:r>
        <w:rPr>
          <w:b/>
        </w:rPr>
        <w:t xml:space="preserve">Quelle: </w:t>
      </w:r>
      <w:r>
        <w:t>https://mcp.opencaselaw.ch/entscheid/bger_2C_425_2022</w:t>
      </w:r>
    </w:p>
    <w:p>
      <w:r>
        <w:t>FR: TF 2C_425/2022 du 12 juillet 2023</w:t>
      </w:r>
    </w:p>
    <w:p>
      <w:r>
        <w:t>IT: TF 2C_425/2022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223 fr. à 222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223 fr. à 222 fr. à partir du 1er juillet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informer le canton du salaire payé à son directeur.</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60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26, comme cela ressort de l'arrêt attaqué et le reconnaît l'intéressée.</w:t>
      </w:r>
    </w:p>
    <w:p>
      <w:r>
        <w:rPr>
          <w:b/>
        </w:rPr>
        <w:t>E. 6</w:t>
      </w:r>
    </w:p>
    <w:p>
      <w:r>
        <w:t>Reste à présent à examiner si cette violation de la LGEPA/GE pouvait justifier une diminution du prix de pension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conférée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en particulier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faisant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222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d'autant moins lorsqu'à l'instar de la recourante, celui-ci a renoncé à collaborer et n'a pas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Association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