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2C_425/2016 vom 5. Oktober 2016</w:t>
      </w:r>
    </w:p>
    <w:p>
      <w:r>
        <w:t>Bundesgericht, 2016-10-05, DE</w:t>
      </w:r>
    </w:p>
    <w:p>
      <w:r>
        <w:rPr>
          <w:b/>
        </w:rPr>
        <w:t xml:space="preserve">Quelle: </w:t>
      </w:r>
      <w:r>
        <w:t>https://mcp.opencaselaw.ch/entscheid/bger_2C_425_2016</w:t>
      </w:r>
    </w:p>
    <w:p>
      <w:r>
        <w:t>FR: TF 2C_425/2016 du 5 octobre 2016</w:t>
      </w:r>
    </w:p>
    <w:p>
      <w:r>
        <w:t>IT: TF 2C_425/2016 del 5 ottobre 2016</w:t>
      </w:r>
    </w:p>
    <w:p>
      <w:pPr>
        <w:pStyle w:val="Heading2"/>
      </w:pPr>
      <w:r>
        <w:t>Erwägungen</w:t>
      </w:r>
    </w:p>
    <w:p>
      <w:r>
        <w:rPr>
          <w:b/>
        </w:rPr>
        <w:t>E. 1.1</w:t>
      </w:r>
    </w:p>
    <w:p>
      <w:r>
        <w:t>Nach Art. 5 Abs. 1 VwVG sind Verfügungen Anordnungen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 BGE 135 II 38 E. 4.3 S. 45; 131 II 13 E. 2.2 S. 17).</w:t>
      </w:r>
    </w:p>
    <w:p>
      <w:r>
        <w:t>Verfügungen unterliegen der Beschwerde ( Art. 44 VwVG ). Zur Beschwerde ist berechtigt, wer am Verfahren teilgenommen hat oder keine Möglichkeit zur Teilnahme erhalten hat (lit. a), durch die angefochtene Verfügung besonders berührt ist (lit. b) und ein schutzwürdiges Interesse an deren Aufhebung oder Änderung hat (lit. c).</w:t>
      </w:r>
    </w:p>
    <w:p>
      <w:r>
        <w:rPr>
          <w:b/>
        </w:rPr>
        <w:t>E. 1.2</w:t>
      </w:r>
    </w:p>
    <w:p>
      <w:r>
        <w:t>Die Verfügung der FINMA vom 13. Dezember 2013 richtete sich ausschliesslich gegen die X.________ AG. Einzig sie wird im Dispositiv ins Recht gefasst und zu bestimmten Massnahmen verpflichtet. In der Begründung der Verfügung wird auf die Tätigkeit der Effektenhändler, auch des Beschwerdeführers, Bezug genommen und diese als marktmanipulierend bezeichnet. Daraus werden Rechtswirkungen gegenüber der X.________ AG abgeleitet, nicht jedoch gegenüber den einzelnen Händlern. Das bedeutet, dass mit der Verfügung Rechte und Pflichten der X.________ AG geregelt werden, nicht jedoch die Rechtsstellung des Beschwerdeführers. Zur Beschwerdeführung können zwar auch Dritte befugt sein, wenn sie ein schutzwürdiges Interesse an der Aufhebung der Verfügung haben; entsprechend müsste ihnen auch Parteistellung bei Erlass derselben eingeräumt werden ( BGE 139 II 279 E. 2.2 S. 282, mit Hinweisen). Der Beschwerdeführer leitet aber ein schutzwürdiges Interesse nicht aus den dispositivmässig geregelten Rechten und Pflichten der Verfügungsadressatin ab, von denen er ebenfalls betroffen wäre, sondern aus Teilen der Begründung, welche die FINMA für die Verfügung gegeben hat. Gegen die Begründung (Motive) allein kann sich eine Beschwerde aber nicht richten ( BGE 140 I 114 E. 2.4.2 S. 120; 115 V 416 E. 3b/aa S. 417).</w:t>
      </w:r>
    </w:p>
    <w:p>
      <w:r>
        <w:rPr>
          <w:b/>
        </w:rPr>
        <w:t>E. 2</w:t>
      </w:r>
    </w:p>
    <w:p>
      <w:r>
        <w:t>Der Beschwerdeführer macht geltend, die Verfügung gegen die X.________ AG und die in deren Begründung erhobenen Vorwürfe der Marktmanipulation ihm gegenüber stellten ein "naming and shaming" dar, vor dessen Erlass er hätte angehört werden müssen.</w:t>
      </w:r>
    </w:p>
    <w:p>
      <w:r>
        <w:t>Art. 34 des Bundesgesetzes vom 22. Juni 2007 über die Eidgenössische Finanzmarktaufsicht (FINMAG; SR 956.1) sieht vor, dass die FINMA ihre Endverfügung nach Eintritt der Rechtskraft unter Angabe von Personendaten in elektronischer oder in gedruckter Form publizieren kann, wenn eine schwere Verletzung aufsichtsrechtlicher Bestimmungen vorliegt und die Publikation in der Verfügung selber angeordnet wird. Mit dieser aufsichtsrechtlichen Massnahme soll einerseits eine individuelle repressive verwaltungsrechtliche Sanktion im Sinne des sogenannten "</w:t>
      </w:r>
    </w:p>
    <w:p>
      <w:r>
        <w:t>naming and shaming " ausgesprochen werden, andererseits soll sie eine präventive Wirkung zum Schutz des Publikums erzielen (Urteil 2C_30/2011 vom 12. Januar 2012 E. 5.2.2). Eine solche Veröffentlichung unter Namensnennung des Beschwerdeführers ist jedoch (bisher) nicht erfolgt. Sie mag Gegenstand des gegen den Beschwerdeführer selber geführten eingreifenden Verwaltungsverfahrens sein (oben lit. A), in welchem ihm auch alle Parteirechte zustehen und in dem ihm die Rechtskraft des gegen die X.________ AG geführten Verfahrens nicht entgegengehalten werden kann (zur Veröffentlichung bestimmtes Urteil 2C_739/2015 vom 25. April 2016 E. 2). Der Beschwerdeführer kann demnach auch unter dem Gesichtspunkt von Art. 34 FINMAG nicht verlangen, dass festgestellt werde, ihm sei im gegen die X.________ AG geführten Verfahren das rechtliche Gehör verweigert worden.</w:t>
      </w:r>
    </w:p>
    <w:p>
      <w:r>
        <w:rPr>
          <w:b/>
        </w:rPr>
        <w:t>E. 3</w:t>
      </w:r>
    </w:p>
    <w:p>
      <w:r>
        <w:t>Die Beschwerde erweist sich als unbegründet und ist abzuweisen.</w:t>
      </w:r>
    </w:p>
    <w:p>
      <w:r>
        <w:t>Entsprechend diesem Verfahrensausgang hat der Beschwerdeführer die bundesgerichtlichen 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