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2C_423/2020 vom 26. August 2020</w:t>
      </w:r>
    </w:p>
    <w:p>
      <w:r>
        <w:t>Bundesgericht, 2020-08-26, DE</w:t>
      </w:r>
    </w:p>
    <w:p>
      <w:r>
        <w:rPr>
          <w:b/>
        </w:rPr>
        <w:t xml:space="preserve">Quelle: </w:t>
      </w:r>
      <w:r>
        <w:t>https://mcp.opencaselaw.ch/entscheid/bger_2C_423_2020</w:t>
      </w:r>
    </w:p>
    <w:p>
      <w:r>
        <w:t>FR: TF 2C_423/2020 du 26 août 2020</w:t>
      </w:r>
    </w:p>
    <w:p>
      <w:r>
        <w:t>IT: TF 2C_423/2020 del 26 agosto 2020</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 Einzutreten ist auf Beschwerden, die sich gegen die Nichtverlängerung einer Aufenthaltsbewilligung richten, sofern in vertretbarer Weise ein Anspruch auf eine Verlängerung geltend gemacht wird; ob die jeweiligen Voraussetzungen tatsächlich gegeben sind, bildet Gegenstand der materiellen Beurteilung ( BGE 139 I 330 E. 1.1 S. 332; 136 II 177 E. 1.1 S. 179 f., 497 E. 3.3 S. 500 f.).</w:t>
      </w:r>
    </w:p>
    <w:p>
      <w:r>
        <w:rPr>
          <w:b/>
        </w:rPr>
        <w:t>E. 1.2</w:t>
      </w:r>
    </w:p>
    <w:p>
      <w:r>
        <w:t>Die Beschwerdeführerin beruft sich in vertretbarer Weise einerseits auf einen nachehelichen Härtefall gemäss Art. 50 Abs. 1 lit. b und Abs. 2 AIG (SR 142.20) und andererseits auf den Schutz des Familien- und Privatlebens nach Art. 13 BV sowie Art. 8 EMRK . Die Beschwerde ist zulässig und die Beschwerdeführerin dazu legitimiert ( Art. 86 Abs. 1 lit. d und Abs. 2, Art. 89 Abs. 1 und Art. 90 BGG ). Auf die im Übrigen frist- und formgerecht eingereichte Beschwerde ( Art. 42 und Art. 100 Abs. 1 BGG ) ist grundsätzlich einzutreten.</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S. 62).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2</w:t>
      </w:r>
    </w:p>
    <w:p>
      <w:r>
        <w:t>Ausländische Ehegatten von Personen mit Niederlassungsbewilligung haben, unter Vorbehalt von Art. 51 Abs. 2 AIG , gemäss Art. 43 AIG Anspruch auf Erteilung und Verlängerung der Aufenthaltsbewilligung, wenn sie mit diesen zusammenwohnen oder - bei fortdauernder Ehegemeinschaft - ein wichtiger Grund für das Getrenntleben besteht ( Art. 49 AIG ). Nach Auflösung der Ehegemeinschaft besteht der Bewilligungsanspruch fort, wenn das Zusammenleben als Ehegemeinschaft in der Schweiz mindestens drei Jahre gedauert hat und eine erfolgreiche Integration besteht ( Art. 50 Abs. 1 lit. a AIG ; BGE 138 II 229 E. 2 S. 231) oder wichtige persönliche Gründe einen weiteren Aufenthalt in der Schweiz erforderlich machen ( Art. 50 Abs. 1 lit. b AIG ). Wichtige persönliche Gründe können namentlich vorliegen, wenn die Ehegattin oder der Ehegatte Opfer ehelicher Gewalt wurden oder die soziale Wiedereingliederung im Herkunftsland stark gefährdet erscheint ( Art. 50 Abs. 2 AIG ).</w:t>
      </w:r>
    </w:p>
    <w:p>
      <w:r>
        <w:rPr>
          <w:b/>
        </w:rPr>
        <w:t>E. 2.1</w:t>
      </w:r>
    </w:p>
    <w:p>
      <w:r>
        <w:t>Die Vorinstanz stellte im angefochtenen Urteil fest, dass die Ehegemeinschaft zwischen der Beschwerdeführerin und ihrem niederlassungsberechtigten Ehemann zwar mehr als drei Jahre gedauert habe, jedoch keine erfolgreiche Integration bestehe. Die Beschwerdeführerin sei seit ihrer Einreise im Mai 2013 bis mindestens im Juni 2019 nie einer bewilligten Erwerbstätigkeit im ersten Arbeitsmarkt nachgegangen und auch wenn sie jetzt einer Beschäftigung im Umfang von 20-40 % nachgehe, verbleibe dennoch weiterhin eine Lücke zwischen ihrem Einkommen und dem Lebensbedarf der Beschwerdeführerin und ihres Sohne im Umfang von Fr. 3'000 bis Fr. 3'800.--, für welchen sie bis heute von der Sozialhilfe abhängig sei. Ausserdem sei sie bei ihrer Einvernahme am 6. März 2019 nach sieben Jahren Aufenthalt in der Schweiz immer noch auf einen Dolmetscher angewiesen gewesen. Dies zeige auf, dass auch die sprachliche Integration bislang nicht erfolgreich gewesen sei. Dementsprechend könne der Beschwerdeführerin keine erfolgreiche Integration attestiert werden und folglich bestehe auch kein Anspruch auf Verlängerung der Aufenthaltsbewilligung gestützt auf Art. 50 Abs. 1 lit. a AIG .</w:t>
      </w:r>
    </w:p>
    <w:p>
      <w:r>
        <w:rPr>
          <w:b/>
        </w:rPr>
        <w:t>E. 2.2</w:t>
      </w:r>
    </w:p>
    <w:p>
      <w:r>
        <w:t>Hinsichtlich der nicht erfolgreichen Integration wird das vorinstanzliche Urteil durch die Beschwerdeführerin nicht beanstandet. Sie macht jedoch geltend, sie sei Opfer ehelicher Gewalt geworden und dementsprechend würden wichtige persönliche Gründe gemäss Art. 50 Abs. 1 lit. b und Abs. 2 AIG vorliegen, die einen weiteren Aufenthalt in der Schweiz erforderlich machten.</w:t>
      </w:r>
    </w:p>
    <w:p>
      <w:r>
        <w:rPr>
          <w:b/>
        </w:rPr>
        <w:t>E. 2.2.1</w:t>
      </w:r>
    </w:p>
    <w:p>
      <w:r>
        <w:t>Gemäss bundesgerichtlicher Rechtsprechung bedeutet eheliche Gewalt systematische Misshandlung mit dem Ziel, Macht und Kontrolle auszuüben ( BGE 138 II 229 E. 3.2.1 S. 233; 136 II 1 E. 5 S. 3 ff. mit Hinweisen).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2C_776/2019 vom 14. April 2020 E. 3.3). Ein Anspruch nach Art. 50 Abs. 1 lit. b AuG wird praxisgemäss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oder bei einer einmaligen Auseinandersetzung, die zu Aufregung, verbalen Attacken und Hämatomen sowie einem kleinen Kratzer unter einem Auge geführt hat (Urteil 2C_958/2017 vom 21. Februar 2018 E. 4.2.5).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234; Urteil 2C_922/2019 vom 26. Februar 2020 mit Hinweisen). Häusliche Gewalt physischer oder psychischer Natur muss somit von einer gewissen Konstanz bzw. Intensität sein (Urteil 2C_777/2015 vom 26. Mai 2016 E. 3.2, nicht publ. in: BGE 142 I 152 ; 138 II 229 E. 3.2.1 S. 233). Je nach Intensität kann allerdings bereits ein einziger Vorfall häusliche Gewalt begründen. Das trifft vor allem zu, wenn die betroffene Person Opfer schwerer Gewalt (Urteil 2C_1085/2017 vom 22. Mai 2018 E. 3.1) oder eines Mordversuchs (Urteile 2C_460/2017 vom 23. März 2018 E. 3.2; 2C_590/2010 vom 29. November 2010 E. 2.5.2) durch den Ehegatten geworden ist.</w:t>
      </w:r>
    </w:p>
    <w:p>
      <w:r>
        <w:rPr>
          <w:b/>
        </w:rPr>
        <w:t>E. 2.2.2</w:t>
      </w:r>
    </w:p>
    <w:p>
      <w:r>
        <w:t>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(vgl. BGE 138 II 229 E. 3.2.2 S. 233 f.).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(Urteil 2C_922/2019 vom 26. Februar 2020 E. 3.2 f.).</w:t>
      </w:r>
    </w:p>
    <w:p>
      <w:r>
        <w:rPr>
          <w:b/>
        </w:rPr>
        <w:t>E. 2.2.3</w:t>
      </w:r>
    </w:p>
    <w:p>
      <w:r>
        <w:t>Die ausländische Person, welche geltend macht, Opfer ehelicher oder häuslicher Gewalt geworden zu sein, trifft bei den Feststellungen des Sachverhalts eine weitreichende Mitwirkungspflicht (vgl. hierzu 138 II 229 E. 3.2.3; 124 II 361 E. 2b S. 365). Sie muss die eheliche Gewalt bzw. häusliche Oppression und deren Schwere in geeigneter Weise glaubhaft machen (Arztberichte oder psychiatrische Gutachten, Polizeirapporte, Berichte/Einschätzungen von Fachstellen [Frauenhäuser, Opferhilfe usw.], glaubhafte Zeugenaussagen von weiteren Angehörigen oder Nachbarn). In diesem Fall trifft die Bewilligungs- bzw. die Beschwerdeinstanz im Rahmen der Untersuchungsmaxime eine eigenständige Abklärungspflicht.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wird, bei einer Rückkehr in die Heimat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w:t>
      </w:r>
    </w:p>
    <w:p>
      <w:r>
        <w:rPr>
          <w:b/>
        </w:rPr>
        <w:t>E. 2.3</w:t>
      </w:r>
    </w:p>
    <w:p>
      <w:r>
        <w:t>Vorliegend ist unbestritten, dass der Ehemann am 10. Juni 2018 Gewalt gegen die Beschwerdeführerin ausgeübt hat.</w:t>
      </w:r>
    </w:p>
    <w:p>
      <w:r>
        <w:rPr>
          <w:b/>
        </w:rPr>
        <w:t>E. 2.3.1</w:t>
      </w:r>
    </w:p>
    <w:p>
      <w:r>
        <w:t>Gemäss dem Gutachten des Instituts für Rechtsmedizin der Universität V.________ vom... erlitt die Beschwerdeführerin multiple Hautabschürfungen im Gesicht, an beiden Halsseiten, im Nacken, am oberen Rücken, an beiden Oberarmen und am rechten Knie. Ebenfalls fanden sich in Folge stumpfer Gewalteinwirkung ein Bluterguss am mittleren Rücken sowie Schleimhautläsionen an den Lippen. Objektive Befunde einer kreislaufrelevanten Halskompression (Stauungsblutung) konnten jedoch nicht festgestellt werden und es wurden keine subjektiven Angaben zu zerebralen Ausfallerscheinungen (Bewusstlosigkeit etc.) geltend gemacht. Die festgestellten Verletzungen ergaben keine Anhaltspunkte für eine Lebensgefahr und würden voraussichtlich innert kurzer Zeit folgenlos abheilen.</w:t>
      </w:r>
    </w:p>
    <w:p>
      <w:r>
        <w:rPr>
          <w:b/>
        </w:rPr>
        <w:t>E. 2.3.2</w:t>
      </w:r>
    </w:p>
    <w:p>
      <w:r>
        <w:t>Aufgrund des Vorfalls vom 10. Juni 2018 wurde dem Ehemann der Beschwerdeführerin mit Verfügung vom 11. Juni 2018 bis zum Entscheid des Zwangsmassnahmengerichts verboten, den Rayon "Umgebung U.________strasse in Y.________" zu betreten sowie mit der Beschwerdeführerin in irgendeiner Weise Kontakt aufzunehmen. Das Zwangsmassnahmengericht erwog, es sei damit zu rechnen, dass es bei Aufhebung der Schutzmassnahmen zu weiteren Übergriffen kommen werde. Es bejahte deshalb die anhaltende Gefährdungssituation und verlängerte die angeordneten Schutzmassnahmen mit Urteil vom 22. Juni 2018 bis am 25. September 2018. Mit Urteil des Bezirksgerichts Zürich vom 25. September 2018 betreffend Eheschutz/Getrenntleben wurde davon Kenntnis genommen, dass die Parteien seit dem 10. Juni 2018 getrennt leben und festgestellt, dass der Ehemann die eheliche Wohnung bereits verlassen hat. Vor diesem Hintergrund ist auch erstellt, dass der Ehemann nicht nur physische Gewalt gegen die Beschwerdeführerin ausgeübt, sondern auch ein hinreichend enger Zusammenhang zwischen der ehelichen Gewalt und der Trennung der Ehegatten besteht.</w:t>
      </w:r>
    </w:p>
    <w:p>
      <w:r>
        <w:rPr>
          <w:b/>
        </w:rPr>
        <w:t>E. 2.3.3</w:t>
      </w:r>
    </w:p>
    <w:p>
      <w:r>
        <w:t>Gemäss Vorinstanz reicht die beim Vorfall vom 10. Juni 2018 erlittene Gewalt aber nicht aus, um einen nachehelichen Härtefall i.S.v. Art. 50 Abs. 1 lit. b AIG zu begründen. Es habe sich um einen einmaligen Vorfall gehandelt, da eine frühere Gewalttätigkeit des Ehemanns nicht erstellt sei, und die Beschwerdeführerin die behauptete psychische Gewalt nicht ausreichend habe glaubhaft machen können. Dementsprechend sei massgebend, ob die am 10. Juni 2018 gegenüber der Beschwerdeführerin ausgeübte Gewalt für die für ein einmaliges Ereignis notwendige Intensität erreicht habe. Solches sei jedoch zu verneinen, da die Verletzungen in kurzer Zeit abheilen würden und zu keinem Zeitpunkt Lebensgefahr bestanden habe. Folglich seien die Anforderungen an die eheliche Gewalt i.S.v. Art. 50 Abs. 1 lit. b AIG nicht erfüllt.</w:t>
      </w:r>
    </w:p>
    <w:p>
      <w:r>
        <w:rPr>
          <w:b/>
        </w:rPr>
        <w:t>E. 2.3.4</w:t>
      </w:r>
    </w:p>
    <w:p>
      <w:r>
        <w:t>Gestützt auf das Gutachten des Instituts für Rechtsmedizin der Universität V.________ vom... und der Sistierungsverfügung betreffend häusliche Gewalt vom 4. Januar 2019 ist davon auszugehen, dass der Ehemann die Beschwerdeführerin mehrfach mit der flachen Hand ins Gesicht geschlagen, gewürgt, zu Boden geschubst und mit einem Messer bedroht hat. Auch wenn es sich dabei nicht um einen Mordversuch handelte, ist der Vorfall als schwerwiegende Aggression zu bewerten, selbst wenn keine schwere Körperverletzung daraus resultierte und das Verfahren schliesslich mit Zustimmung der Beschwerdeführerin am 5. August 2019 eingestellt worden ist. Im Vergleich zu den angeführten Beispielen in der bundesgerichtlichen Rechtsprechung lagen nicht bloss harmlose Handgreiflichkeiten mit anschliessender Versöhnung oder verbale Aggressionen vor. Hinzu kommt, dass das Zwangsmassnahmengericht erwogen hat, es sei damit zu rechnen, dass es bei der Aufhebung der Schutzmassnahmen zu weiteren Übergriffen kommen werde und mit Urteil vom 22. Juni 2018 die zuvor verhängten Schutzmassnahmen verlängerte. Es liegt auf der Hand, dass es unter diesen Umständen der Beschwerdeführerin nicht mehr zumutbar war, einzig aus bewilligungsrechtlichen Gründen die Ehe aufrechtzuerhalten. Es kann von ihr vernünftigerweise nicht erwartet werden, sich der konkreten Gefahr künftiger Körperverletzungen auszusetzen, bis die notwendige Intensität oder Konstanz der ehelichen Gewalt erreicht ist.</w:t>
      </w:r>
    </w:p>
    <w:p>
      <w:r>
        <w:rPr>
          <w:b/>
        </w:rPr>
        <w:t>E. 2.4</w:t>
      </w:r>
    </w:p>
    <w:p>
      <w:r>
        <w:t>Die Beschwerdeführerin hat als Opfer ehelicher Gewalt i.S.v. Art. 50 Abs. 1 lit. b i.V.m. Art. 50 Abs. 2 AIG somit weiterhin einen Anspruch auf die Verlängerung der Aufenthaltsbewilligung nach Art. 43 AIG .</w:t>
      </w:r>
    </w:p>
    <w:p>
      <w:r>
        <w:rPr>
          <w:b/>
        </w:rPr>
        <w:t>E. 3</w:t>
      </w:r>
    </w:p>
    <w:p>
      <w:r>
        <w:t>Im Weiteren macht die Beschwerdeführerin auch einen Anspruch auf Verlängerung der Aufenthaltsbewilligung gestützt auf Art. 8 EMRK geltend. Diese Frage muss vorliegend nicht beantwortet werden, da sich die Beschwerdeführerin bereits erfolgreich auf eine Anspruchsgrundlage berufen kann. Jedoch wird den Anforderungen von Art. 8 EMRK bei der Prüfung der Verhältnismässigkeit des Widerrufs der Aufenthaltsbewilligung Rechnung zu tragen sein (vgl. E. 4). Die Vorinstanz ging nämlich davon aus, dass selbst wenn die Beschwerdeführerin gestützt auf den Vorfall am 10. Juni 2018 einen Anspruch auf Verlängerung der Aufenthaltsbewilligung wegen eines nachehelichen Härtefalls herleiten könnte, dieser aufgrund des Widerrufsgrunds der Sozialhilfeabhängigkeit erloschen sei.</w:t>
      </w:r>
    </w:p>
    <w:p>
      <w:r>
        <w:rPr>
          <w:b/>
        </w:rPr>
        <w:t>E. 3.1</w:t>
      </w:r>
    </w:p>
    <w:p>
      <w:r>
        <w:t>Gestützt auf Art. 51 Abs. 2 lit. b AIG erlöschen die Ansprüche gemäss Art. 43 AIG , wenn Widerrufsgründe nach Art. 62 AIG vorliegen. Art. 62 Abs. 1 lit. e AIG sieht die Möglichkeit des Widerrufs der Aufenthaltsbewilligung vor, wenn die Ausländerin oder Ausländer oder eine Person, für die sie oder er zu sorgen hat, auf Sozialhilfe angewiesen ist.</w:t>
      </w:r>
    </w:p>
    <w:p>
      <w:r>
        <w:rPr>
          <w:b/>
        </w:rPr>
        <w:t>E. 3.2</w:t>
      </w:r>
    </w:p>
    <w:p>
      <w:r>
        <w:t>Der Widerrufsgrund ist erfüllt, wenn konkret die Gefahr einer fortgesetzten Sozialhilfeabhängigkeit besteht; blosse finanzielle Bedenken genügen nicht. Für die Beurteilung der Gefahr der Sozialhilfeabhängigkeit ist von den aktuellen Verhältnissen auszugehen; die zu erwartende finanzielle Entwicklung ist aber auf längere Sicht abzuwägen. Ausschlaggebend ist eine Prognose zur voraussichtlichen Entwicklung der finanziellen Situation in Berücksichtigung der realisierbaren Einkommensaussichten sämtlicher Familienmitglieder. Beim Widerrufsgrund nach Art. 62 Abs. 1 lit. e AIG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sorgen wird. Ob und inwieweit die betroffene Person ein Verschulden an der Sozialhilfebedürftigkeit trifft, beschlägt nicht die Frage des Widerrufsgrundes, sondern die Verhältnismässigkeitsprüfung (Urteil 2C_13/2018 vom 16. November 2018 E. 3.2 mit Hinweisen).</w:t>
      </w:r>
    </w:p>
    <w:p>
      <w:r>
        <w:rPr>
          <w:b/>
        </w:rPr>
        <w:t>E. 3.3</w:t>
      </w:r>
    </w:p>
    <w:p>
      <w:r>
        <w:t>Ob der Widerrufsgrund der Sozialhilfeabhängigkeit nach Art. 62 Abs. 1 lit. e AIG erfüllt ist, wird objektiv, d.h. wie bereits ausgeführt ohne Rücksicht auf das Verschulden, beurteilt. Massgeblich ist die Höhe der ausgerichteten Beträge und die prognostische Beurteilung, ob in absehbarer Zeit eine Ablösung von der Sozialhilfe erfolgen kann (Urteile 2C_442/2019 vom 11. September 2019 E. 3.1; 2C_291/2019 vom 9. August 2019 E. 4.2).</w:t>
      </w:r>
    </w:p>
    <w:p>
      <w:r>
        <w:rPr>
          <w:b/>
        </w:rPr>
        <w:t>E. 3.3.1</w:t>
      </w:r>
    </w:p>
    <w:p>
      <w:r>
        <w:t>Die Familie wurde seit 2013 gesamthaft mit rund Fr. 230'000.-- unterstützt, wobei Fr. 78'302.-- auf die Beschwerdeführerin und Fr. 43'669.-- auf ihren Sohn entfallen. Die Beschwerdeführerin bezieht somit seit sieben Jahren Sozialhilfegelder, welche sich (zusammen mit den entsprechenden Leistungen für den Sohn der Beschwerdeführerin) auf einen beträchtlichen, wenn auch nicht geradezu exorbitanten Gesamtbetrag belaufen (vgl. Urteile 2C_870/2018 vom 13. Mai 2019 E. 5.3; 2C_549/2019 vom 9. Dezember 2019 E. 4.3.1; 2C_679/2019 vom 23. Dezember 2019 E. 6.4.1).</w:t>
      </w:r>
    </w:p>
    <w:p>
      <w:r>
        <w:rPr>
          <w:b/>
        </w:rPr>
        <w:t>E. 3.3.2</w:t>
      </w:r>
    </w:p>
    <w:p>
      <w:r>
        <w:t>Gemäss Vorinstanz sei nicht davon auszugehen, dass die Beschwerdeführerin in naher Zukunft selbständig für ihren Lebensunterhalt und denjenigen ihres Sohnes aufkommen kann. Der unbefristete Arbeitsvertrag bei der D.________ AG, über welchen die Beschwerdeführerin verfügt, erlaube ihr nicht, ein genügendes Einkommen zu erzielen, um sich von der Sozialhilfe zu lösen. Zum Zeitpunkt des vorinstanzlichen Urteils bestand eine monatliche Lücke zwischen dem Einkommen der Beschwerdeführerin und ihrem Lebensbedarf sowie demjenigen ihres Sohnes zwischen Fr. 3'000.-- und Fr. 3'800.--.</w:t>
      </w:r>
    </w:p>
    <w:p>
      <w:r>
        <w:rPr>
          <w:b/>
        </w:rPr>
        <w:t>E. 3.3.3</w:t>
      </w:r>
    </w:p>
    <w:p>
      <w:r>
        <w:t>Die Beschwerdeführerin bringt dazu vor, während des Zusammenlebens mit ihrem Ehemann hätten sie eine traditionelle Rollenteilung gelebt, was von der Vorinstanz unberücksichtigt geblieben sei. Unter diesem Umstand und aufgrund der Betreuung eines Kleinkindes, sei es ihr zu Beginn ihres Aufenthaltes nicht möglich gewesen, sich in den hiesigen Arbeitsmarkt zu integrieren. Zumindest bis zum dritten Lebensjahr ihres Sohnes könne ihr der Sozialhilfebezug nicht vorgeworfen werden. Ab November 2017 habe sie sodann an einem Arbeitsintegrationsprogramm im Umfang von 70 % teilgenommen und seit Juni 2019 gehe sie einer Erwerbstätigkeit im ersten Arbeitsmarkt nach. Insgesamt schreite die Integration voran, auch wenn es noch nicht ausreiche, um den Lebensunterhalt vollumfänglich selbst zu bestreiten. Aufgrund der positiven Entwicklung hätte die Vorinstanz nicht von einer dauerhaften Sozialhilfeabhängigkeit ausgehen dürfen. Eine Gesamthaftwürdigung der Verhältnisse führe zum Schluss, dass sie in Bälde in einem höheren Pensum arbeiten und ihren Lebensunterhalt selber bestreiten könne.</w:t>
      </w:r>
    </w:p>
    <w:p>
      <w:r>
        <w:rPr>
          <w:b/>
        </w:rPr>
        <w:t>E. 3.3.4</w:t>
      </w:r>
    </w:p>
    <w:p>
      <w:r>
        <w:t>Die Rügen der Beschwerdeführerin beschränken sich überwiegend auf die Verschuldensfrage der Sozialhilfeabhängigkeit, welche gerade nicht ausschlaggebend für das Bestehen des Widerrufsgrundes ist. Die blosse Hoffnung auf ein baldiges umfangreicheres Engagement im primären Arbeitsmarkt reicht wiederum nicht aus, um die Einschätzung der Vorinstanz als unzutreffend erscheinen zu lassen. Es ist ihr erst vor kurzem gelungen, eine Stelle auf dem primären Arbeitsmarkt zu erhalten und ihr Verdienst reicht bei weitem nicht aus, um ihren Lebensunterhalt und denjenigen ihres Sohnes zu finanzieren. Zudem bereitet es der Beschwerdeführerin immer noch Mühe, sich in einer Landessprache zu verständigen. Mehrere Versuche für ein zusätzliches Engagement im primären Arbeitsmarkt sind gemäss der verbindlichen Sachverhaltsfeststellung der Vorinstanz aus verschiedenen Gründen gescheitert, so z.B. bei E.________ Sàrl oder F.________ S.A. (www.xxx.ch) (vgl. E. 2.3 des angefochtenen Entscheids). Eine nachhaltige Ablösung von der Sozialhilfe erscheint unter diesen Umständen als wenig wahrscheinlich und die Vorinstanz hat das Vorliegen des Widerrufsgrundes der Sozialhilfeabhängigkeit gemäss Art. 62 Abs. 1 lit. e AIG dementsprechend zu Recht bejaht.</w:t>
      </w:r>
    </w:p>
    <w:p>
      <w:r>
        <w:rPr>
          <w:b/>
        </w:rPr>
        <w:t>E. 4</w:t>
      </w:r>
    </w:p>
    <w:p>
      <w:r>
        <w:t>Liegt ein Widerrufsgrund vor, ist zu prüfen, ob die damit verbundene aufenthaltsbeendende Massnahme verhältnismässig ist (vgl. Art. 5 Abs. 2 BV ; Art. 96 Abs. 1 AIG ). Nach der bundesgerichtlichen Rechtsprechung, welche sich auf Art. 8 EMRK stützt, sind für die Beurteilung, ob dies der Fall ist, namentlich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(vgl. Urteile 2C_709/2019 vom 17. Januar 2020 E. 4; 2C_13/2018 vom 16. November 2018 E. 3.3; 2C_775/2017 vom 28. März 2018 E. 3.2; 2C_1085/2015 vom 23. Mai 2016 E. 4.4).</w:t>
      </w:r>
    </w:p>
    <w:p>
      <w:r>
        <w:rPr>
          <w:b/>
        </w:rPr>
        <w:t>E. 4.1</w:t>
      </w:r>
    </w:p>
    <w:p>
      <w:r>
        <w:t>Nach Auffassung der Beschwerdeführerin ist die aufenthaltsbeendende Massnahme nicht verhältnismässig. Wie soeben erwähnt (E. 4.3.3), erachtet sie ihre Sozialhilfeabhängigkeit nicht als selbstverschuldet. Zudem würde sie bei einer Rückkehr in ihre Heimat als alleinerziehende Mutter kulturbedingt kaum Unterstützung erhalten, auch wenn ihre Mutter und Geschwister noch in Marokko leben. Ihrem Sohn, der momentan den Kindergarten besuche und nächstes Jahr eingeschult werde, sei eine Rückkehr ebenfalls nicht zuzumuten, da er aus seinem vertrauten Umfeld herausgerissen werde, in welchem er sein ganzes Leben verbracht habe. Im Weiteren würde auch die intakte und gelebte Beziehung zu seinem in der Schweiz niedergelassenen Vater erheblich leiden und könnte nicht mehr in der bestehenden Form aufrechterhalten werden. Insgesamt hätten sie und ihr Sohn ein erhebliches persönliches Interesse an einem Verbleib in der Schweiz.</w:t>
      </w:r>
    </w:p>
    <w:p>
      <w:r>
        <w:rPr>
          <w:b/>
        </w:rPr>
        <w:t>E. 4.2.1</w:t>
      </w:r>
    </w:p>
    <w:p>
      <w:r>
        <w:t>Nach ständiger Rechtsprechung des Bundesgerichts gilt, dass es ausländerrechtlich spätestens ab dem 3. Altersjahr des jüngsten Kindes der Beschwerdeführerin zumutbar ist, sich an den Kosten der Familie zu beteiligen, ungeachtet davon, ob ein traditionelles Familienmodell gelebt wird oder nicht (vgl. Urteile 2C_1064/2017 vom 15. Juni 2018 E. 5.2.1; 2C_775/2017 vom 28. März 2018 E. 4.2.2.; 2C_1228/2012 vom 20. Juni 2013 E. 5.4; betreffend alleinerziehende Mütter vgl. Urteil 2C_870/2018 vom 13. Mai 2019 E. 5.3.3). Zumindest zwischen der Geburt ihres Sohnes und dessen drittem Geburtstag im Mai 2016 kann der Beschwerdeführerin deshalb nicht vorgeworfen werden, sich nicht um Arbeit bemüht zu haben. Zudem ist es positiv zu werten, dass sie sich seit ihr Sohn vier Jahre alt und noch nicht eingeschult war, aktiv um die Teilnahme am Arbeitsmarkt bemüht hat, zuerst im Rahmen eines Arbeitsintegrationsprojekts und anschliessend auf dem ersten Arbeitsmarkt. Ebenfalls zu ihren Gunsten spricht, dass das Verhalten ihres Ehemannes einer zusätzlichen Arbeitsleistung abträglich war. So ging die Vorinstanz davon aus, dass er nicht zu Betreuungsleistungen bereit war und das gewalttätige Verhalten wurde bereits ausführlich thematisiert.</w:t>
      </w:r>
    </w:p>
    <w:p>
      <w:r>
        <w:rPr>
          <w:b/>
        </w:rPr>
        <w:t>E. 4.2.2</w:t>
      </w:r>
    </w:p>
    <w:p>
      <w:r>
        <w:t>Mittlerweile sind seitens der Beschwerdeführerin verstärkte Bemühungen zur Integration in den Arbeitsmarkt feststellbar, es ist jedoch nicht zu übersehen, dass sie erst im Zusammenhang mit der Androhung ernster ausländerrechtlicher Konsequenzen zusätzliche Anstrengungen unternahm. Obschon sie bereits im Dezember 2016 verwarnt wurde, war sie zwischen Mai 2016 und November 2017 gar nicht erwerbstätig, anschliessend hatte sie für mehr als eineinhalb Jahre eine Beschäftigung ohne Entlöhnung im zweiten Arbeitsmarkt. Es bedurfte der drohenden Nichtverlängerung der Aufenthaltsbewilligung und es dauerte bis zum Frühjahr 2019, bevor sie Bewerbungen auf verschiedene Stellen tätigte. Aktuell ist sie nur mit einem geringen Pensum im ersten Arbeitsmarkt tätig, obwohl ihr Sohn zuerst einen Kinderhort und mittlerweile einen Kindergarten besucht und ihr dadurch eine Berufstätigkeit in einem grösseren Umfang möglich wäre. Zumindest seit ihr aufgrund des Alters ihres Sohnes eine Beschäftigung zumutbar war, ist die Sozialhilfeabhängigkeit grundsätzlich selbst verschuldet.</w:t>
      </w:r>
    </w:p>
    <w:p>
      <w:r>
        <w:rPr>
          <w:b/>
        </w:rPr>
        <w:t>E. 4.2.3</w:t>
      </w:r>
    </w:p>
    <w:p>
      <w:r>
        <w:t>Jedoch relativiert sich das öffentliche Interesse an der aufenthaltsbeendenden Massnahme, welches aufgrund der Höhe der getätigten Unterstützungsleistungen erheblich ist, durch die bloss teilweise vorwerfbare Sozialhilfeabhängigkeit (vgl. Urteil 2C_709/2019 vom 17. Januar 2020 E. 6.). Ausserdem ist die Dauer des vorwerfbaren Sozialhilfebezugs vergleichsweise gering und die Bemühungen der Beschwerdeführerin, sich davon zu befreien, wurden durch die erlittene eheliche Gewalt zusätzlich erschwert.</w:t>
      </w:r>
    </w:p>
    <w:p>
      <w:r>
        <w:rPr>
          <w:b/>
        </w:rPr>
        <w:t>E. 4.3</w:t>
      </w:r>
    </w:p>
    <w:p>
      <w:r>
        <w:t>Ausgangspunkt zur Beurteilung der persönlichen Interessen der Beschwerdeführerin bilden die Dauer ihres Aufenthaltes und der Grad ihrer Integration.</w:t>
      </w:r>
    </w:p>
    <w:p>
      <w:r>
        <w:rPr>
          <w:b/>
        </w:rPr>
        <w:t>E. 4.3.1</w:t>
      </w:r>
    </w:p>
    <w:p>
      <w:r>
        <w:t>Die Beschwerdeführerin ist im Alter von 22 Jahren eingereist und lebt mittlerweile seit sieben Jahren ununterbrochen in der Schweiz. Ihre berufliche Integration ist allerdings mangelhaft und auch die sprachliche Integration war bislang nicht erfolgreich. Die prägenden Kinder- und Jugendjahre hat sie in Marokko verbracht und sie ist mit der Sprache, der Kultur sowie den Gepflogenheiten in der Heimat vertraut. Zu ihrer Mutter und den beiden Brüdern, die in Marokko leben, hat sie per WhatsApp Kontakt und einmal jährlich geht sie ihre Familie zusammen mit ihrem Sohn besuchen.</w:t>
      </w:r>
    </w:p>
    <w:p>
      <w:r>
        <w:rPr>
          <w:b/>
        </w:rPr>
        <w:t>E. 4.3.2</w:t>
      </w:r>
    </w:p>
    <w:p>
      <w:r>
        <w:t>Für die Gewichtung ihrer persönlicher Interessen ist auch das von ihrer Wegweisung betroffene Interesse ihres Kindes von erheblicher Bedeutung (vgl. Art. 11 Abs. 1 BV ; Art. 3 Abs. 1 des Übereinkommens über die Rechte des Kindes vom 20. November 1989 [Kinderrechtskonvention; SR 0.107]). Für die Verlängerung der Aufenthaltsbewilligung spricht insbesondere, dass ihr Sohn über ein gefestigtes Anwesenheitsrecht in der Schweiz verfügt. Zwar befindet er sich mit sieben Jahren noch in einem relativ anpassungsfähigen Alter, doch hat er mit seiner (Vor) schulausbildung bereits begonnen und eine Ausreise würden ihn vollständig aus seinem gewohnten Umfeld reissen. Offensichtlich ist zudem, dass der Sohn bei einer Ausreise nach Marokko mittels vereinzelter Ferienaufenthalte seine sowohl in affektiver als auch wirtschaftlicher Hinsicht gute Beziehung zu seinem Vater (vgl. Urteil der Vorinstanz E. 4.4.6) zumindest in der bisherigen Qualität kaum aufrecht erhalten könnte. Dadurch wird sein Interesse in möglichst engem Kontakt mit beiden (getrennt lebenden) Elternteilen aufwachsen zu können, stark beeinträchtigt. Insgesamt würde ihn eine Ausreise vergleichsweise hart treffen, auch wenn er gemäss den massgeblichen Ausführungen der Vorinstanz arabisch, die Muttersprache seiner Mutter, spricht und aufgrund der regelmässigen Besuche bei den Familienangehörigen in Marokko mit den dortigen Gepflogenheiten vertraut sein dürfte.</w:t>
      </w:r>
    </w:p>
    <w:p>
      <w:r>
        <w:rPr>
          <w:b/>
        </w:rPr>
        <w:t>E. 4.3.3</w:t>
      </w:r>
    </w:p>
    <w:p>
      <w:r>
        <w:t>Die von der Beschwerdeführerin erwirkten Strafen (90 Tage Freiheitsstrafe und Geldstrafe von 40 Tagessätzen) wegen rechtswidriger Einreise, rechtswidrigen Aufenthalts sowie Diebstahls liegen bereits längere Zeit zurück (2012) und wiegen wiederum nicht so schwer, als dass sie die anderen Kriterien (Grad der tatsächlichen affektiven und wirtschaftlichen Intensität der Beziehung zum Kind, zivilrechtliche Regelung der familiären Verhältnisse nach Auflösung der Gemeinschaft, Dauer des Aufenthalts im Land, Grad der Integration) zum Vornherein aufwiegen würden (vgl. BGE 140 I 145 E. 4.3 S. 150; Urteile 2C_1125/2014 vom 9. September 2015 E. 4.4; 2C_728/2014 vom 3. Juni 2015 E. 4.1), zumal sie seither nicht mehr strafrechtlich in Erscheinung getreten ist.</w:t>
      </w:r>
    </w:p>
    <w:p>
      <w:r>
        <w:rPr>
          <w:b/>
        </w:rPr>
        <w:t>E. 4.3.4</w:t>
      </w:r>
    </w:p>
    <w:p>
      <w:r>
        <w:t>Zusammenfassend ergibt sich, dass die persönlichen Interessen der Beschwerdeführerin sehr gross sind, auch angesichts der Interessen ihres Sohnes am Verbleib seiner Mutter in der Schweiz.</w:t>
      </w:r>
    </w:p>
    <w:p>
      <w:r>
        <w:rPr>
          <w:b/>
        </w:rPr>
        <w:t>E. 4.4</w:t>
      </w:r>
    </w:p>
    <w:p>
      <w:r>
        <w:t>Insgesamt besteht aufgrund der bisherigen Sozialhilfebezüge zwar grundsätzlich ein gewichtiges öffentliches Interesse an einer aufenthaltsbeendenden Massnahme, welches jedoch durch das untergeordnete Verschulden der Beschwerdeführerin an der Sozialhilfeabhängigkeit relativiert wird. Diesem steht ein erhebliches persönliches Interesse der Beschwerdeführerin am Verbleib in der Schweiz gegenüber, das durch die Interessen ihres Sohnes zusätzlich verstärkt wird und vorwiegend überwiegt. Der Beschwerdeführerin ist unter diesen Umständen zumindest die Möglichkeit zu geben, ihre Aufenthaltsbewilligung gestützt auf Art. 50 Abs. 1 lit. b i.V.m. Art. 50 Abs. 2 AIG auszuüben, andernfalls würde der Schutz vor ehelicher Gewalt für Personen in prekären finanziellen Verhältnissen unterlaufen. Die Nichtverlängerung der Aufenthaltsbewilligung erweist sich folglich als unverhältnismässig.</w:t>
      </w:r>
    </w:p>
    <w:p>
      <w:r>
        <w:t>Stattdessen rechtfertigt sich, die Beschwerdeführerin als mildere Massnahme gemäss Art. 96 Abs. 2 AIG zu verwarnen. Sie ist mit Nachdruck darauf hinzuweisen, dass die vorliegende Beurteilung der Verhältnismässigkeit keine Wirkung für eine künftige Überprüfung der Verlängerung der Aufenthaltsbewilligung zeitigt. Sollte der Beschwerdeführerin die berufliche und wirtschaftliche Integration weiterhin nicht gelingen, ist mit zunehmendem Alter des Sohnes und dem damit verbundenen abnehmenden Interesse am Verbleib seiner Mutter in der Schweiz künftig Rechnung zu tragen, weshalb es nicht ausgeschlossen ist, dass die Verhältnismässigkeitsprüfung bei weiterhin fortdauernder Sozialhilfeabhängigkeit in Zukunft anders ausfallen kann (vgl. Urteile 2C_122/2020 vom 7. Juli 2020 E. 3.7; 2C_709/2019 vom 17. Januar 2020 E. 7).</w:t>
      </w:r>
    </w:p>
    <w:p>
      <w:r>
        <w:rPr>
          <w:b/>
        </w:rPr>
        <w:t>E. 5.1</w:t>
      </w:r>
    </w:p>
    <w:p>
      <w:r>
        <w:t>Aufgrund der Erwägungen ist die Beschwerde in öffentlich-rechtlichen Angelegenheiten gutzuheissen und das Urteil des Verwaltungsgerichts des Kantons Zürich vom 1. April 2020 ist aufzuheben. Das Migrationsamt wird angewiesen, der Beschwerdeführerin die Aufenthaltsbewilligung zu verlängern.</w:t>
      </w:r>
    </w:p>
    <w:p>
      <w:r>
        <w:rPr>
          <w:b/>
        </w:rPr>
        <w:t>E. 5.2</w:t>
      </w:r>
    </w:p>
    <w:p>
      <w:r>
        <w:t>Bei diesem Verfahrensausgang sind keine Kosten zu erheben ( Art. 66 Abs. 4 BGG ). Der Kanton Zürich hat der Beschwerdeführerin eine Parteientschädigung von Fr. 2'500.-- auszurichten ( Art. 68 Abs. 1 BGG ), die dem Vertreter zuzusprechen ist. Das Gesuch um Gewährung der unentgeltlichen Rechtspflege und Verbeiständung ist gegenstandslos. Die Sache ist zur Neuverlegung der Kosten- und Entschädigungsfolgen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