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2C_422/2013 vom 8. Juli 2013</w:t>
      </w:r>
    </w:p>
    <w:p>
      <w:r>
        <w:t>Bundesgericht, 2013-07-08, FR</w:t>
      </w:r>
    </w:p>
    <w:p>
      <w:r>
        <w:rPr>
          <w:b/>
        </w:rPr>
        <w:t xml:space="preserve">Quelle: </w:t>
      </w:r>
      <w:r>
        <w:t>https://mcp.opencaselaw.ch/entscheid/bger_2C_422_2013</w:t>
      </w:r>
    </w:p>
    <w:p>
      <w:r>
        <w:t>FR: TF 2C_422/2013 du 8 juillet 2013</w:t>
      </w:r>
    </w:p>
    <w:p>
      <w:r>
        <w:t>IT: TF 2C_422/2013 del 8 luglio 2013</w:t>
      </w:r>
    </w:p>
    <w:p>
      <w:pPr>
        <w:pStyle w:val="Heading2"/>
      </w:pPr>
      <w:r>
        <w:t>Erwägungen</w:t>
      </w:r>
    </w:p>
    <w:p>
      <w:r>
        <w:rPr>
          <w:b/>
        </w:rPr>
        <w:t>E. 1</w:t>
      </w:r>
    </w:p>
    <w:p>
      <w:r>
        <w:t>Le Tribunal fédéral examine d'office et librement sa compétence, respectivement la recevabilité des recours qui lui sont soumis ( art. 29 al. 1 LTF ; ATF 139 V 42 consid. 1 p. 44).</w:t>
      </w:r>
    </w:p>
    <w:p>
      <w:r>
        <w:rPr>
          <w:b/>
        </w:rPr>
        <w:t>E. 1.1</w:t>
      </w:r>
    </w:p>
    <w:p>
      <w:r>
        <w:t>La recourante a déposé, dans la même écriture (cf. art. 119 LTF ), à la fois un recours en matière de droit public et un recours constitutionnel subsidiaire. Ce dernier n'étant ouvert qu'à la condition que la décision attaquée ne puisse faire l'objet d'un recours ordinaire (cf. art. 113 LTF ), il convient d'examiner en premier lieu la recevabilité du recours en matière de droit public.</w:t>
      </w:r>
    </w:p>
    <w:p>
      <w:r>
        <w:rPr>
          <w:b/>
        </w:rPr>
        <w:t>E. 1.1.1</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(voir notamment arrêts 2C_40/2010 du 28 mai 2010 consid. 1.1; 2C_762/2009 du 11 février 2010 consid. 1.1; 2D_57/2009 du 3 décembre 2009 consid. 1.2). L' art. 83 let . t LTF vise non seulement le résultat d'examens au sens étroit, mais encore toutes les évaluations de capacité qui reposent sur une appréciation des aptitudes intellectuelles ou physiques du candidat ( ATF 136 II 61 consid. 1.1.1 p. 63; arrêts 2C_762/2009 précité consid. 1.1; 2C_438/2008 du 16 octobre 2008 consid. 2.1).</w:t>
      </w:r>
    </w:p>
    <w:p>
      <w:r>
        <w:rPr>
          <w:b/>
        </w:rPr>
        <w:t>E. 1.1.2</w:t>
      </w:r>
    </w:p>
    <w:p>
      <w:r>
        <w:t>Selon la jurisprudence, les décisions d'exmatriculation d'une université ou d'une haute école et celles d'élimination d'une faculté ou d'un programme d'études tombent sous le coup de l' art. 83 let . t LTF lorsque la décision d'exmatriculation ou d'élimination est en lien avec une évaluation des capacités de l'étudiant évincé ( ATF 136 I 229 consid. 1 p. 231; arrêt 2C_120/2010 du 16 décembre 2010 consid. 1.1, non publié in ATF 137 I 69 ).</w:t>
      </w:r>
    </w:p>
    <w:p>
      <w:r>
        <w:t>A teneur de sa décision du 28 février 2012, la HEDS a exmatriculé la recourante à la suite de son échec définitif au module "Profession et travail infirmier". Cette situation d'échec définitif découle de la note "F" attribuée en raison de l'absence de la recourante à l'examen. Cette note insuffisante ne résulte ainsi pas d'une évaluation matérielle de l'examen, mais sanctionne uniquement l'absence lors de l'épreuve. La décision d'exmatriculation n'est donc pas directement liée à l'évaluation des capacités de la recourante (cf., mutatis mutandis, arrêt 2C_306/2012 du 18 juillet 2012 consid. 1.2 [exmatriculation pour fraude ne constituant pas du plagiat] et les références aux arrêts 2C_655/2009 du 23 mars 2010 consid. 1 et 2C_191/2008 du 24 juin 2008 consid. 1). S'agissant de l'examen d'un cas d'exmatriculation qui n'implique pas d'analyser au fond le travail fourni, la voie du recours en matière de droit public est a priori ouverte, de sorte que le recours constitutionnel subsidiaire également formé par la recourante est irrecevable. On relèvera au surplus que les griefs soulevés portant essentiellement sur l'appréciation des faits et la mise en oeuvre du droit constitutionnel, la distinction entre les deux voies de droit est largement dénuée de portée en l'espèce.</w:t>
      </w:r>
    </w:p>
    <w:p>
      <w:r>
        <w:rPr>
          <w:b/>
        </w:rPr>
        <w:t>E. 1.2</w:t>
      </w:r>
    </w:p>
    <w:p>
      <w:r>
        <w:t>La décision attaquée confirmant la décision d'exmatriculation est une décision finale (cf. art. 90 LTF ), rendue dans une cause de droit public (cf. art. 82 let. a LTF ), par une autorité judiciaire (inter-) cantonale supérieure statuant en dernière instance (cf. art. 86 al. 1 let . d et al. 2 LTF; arrêt 2C_361/2010 du 13 juillet 2010 consid. 1.3.1). Le recours a en outre été déposé en temps utile (cf. art. 100 al. 1 LTF ) et dans les formes prescrites (cf. art. 42 LTF ) par la destinataire de l'acte attaqué qui a un intérêt digne de protection à son annulation ou à sa modification, de sorte qu'il faut lui reconnaître la qualité pour recourir (cf. art. 89 al. 1 LTF ). Le recours en matière de droit public est dès lors en principe recevable.</w:t>
      </w:r>
    </w:p>
    <w:p>
      <w:r>
        <w:rPr>
          <w:b/>
        </w:rPr>
        <w:t>E. 1.3</w:t>
      </w:r>
    </w:p>
    <w:p>
      <w:r>
        <w:t>S'a gissant de la violation d'un droit constitutionnel, le recours est soumis aux exigences de motivation accrues de l' art. 106 al. 2 LTF . Le Tribunal fédéral n'examine en particulier les critiques relevant de l'arbitraire que si elles ont été expressément soulevées et exposées de façon claire et détaillée ( ATF 134 I 83 consid. 3.2 p. 88).</w:t>
      </w:r>
    </w:p>
    <w:p>
      <w:r>
        <w:rPr>
          <w:b/>
        </w:rPr>
        <w:t>E. 2</w:t>
      </w:r>
    </w:p>
    <w:p>
      <w:r>
        <w:t>Le 1er janvier 2013, la Convention intercantonale du 26 mai 2011 sur la Haute école spécialisée occidentale (HES-SO; ci-après: convention HES-SO) est entrée en vigueur, abrogeant le Concordat intercantonal du 9 janvier 1997 créant une Haute Ecole Spécialisée de Suisse occidentale (HES-SO; ci-après: concordat HES-SO), ainsi que la Convention intercantonale du 6 juillet 2011 créant la Haute école spécialisée santé-social de Suisse romande (HES-S2; ci-après: convention HES-S2; art. 64 al. 1 de la convention HES-SO). Conformément à l'article 62 de la convention HES-SO, la législation d'exécution du concordat HES-SO et de la convention HES-S2 est intégralement reprise.</w:t>
      </w:r>
    </w:p>
    <w:p>
      <w:r>
        <w:rPr>
          <w:b/>
        </w:rPr>
        <w:t>E. 3.1</w:t>
      </w:r>
    </w:p>
    <w:p>
      <w:r>
        <w:t>La recourante voit une violation de son droit d'être entendue, tel que garanti par l' art. 29 al. 2 Cst. , dans le fait que les autorités précédentes, en dernier lieu la Commission de recours, auraient refusé de lui permettre d'établir le contenu des discussions qu'elle a eues avec différents intervenants. S'agissant d'un grief formel, il convient de le traiter d'entrée de cause.</w:t>
      </w:r>
    </w:p>
    <w:p>
      <w:r>
        <w:rPr>
          <w:b/>
        </w:rPr>
        <w:t>E. 3.2</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Ce droit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136 I 229 consid. 5.2 p. 236 s.; 134 I 140 consid. 5.3 p. 148).</w:t>
      </w:r>
    </w:p>
    <w:p>
      <w:r>
        <w:rPr>
          <w:b/>
        </w:rPr>
        <w:t>E. 3.3</w:t>
      </w:r>
    </w:p>
    <w:p>
      <w:r>
        <w:t>En l'espèce, le dossier en mains des autorités précédentes - et spécialement de la Commission de recours - était suffisamment complet pour qu'elles se dispensent d'administrer des moyens de preuve supplémentaires. En particulier, ce dossier contenait l'intégralité des échanges de correspondances entre les parties et il permettait de mettre en évidence la persistance des autorités à informer de manière claire la recourante, en la rendant systématiquement attentive aux démarches à accomplir et à l'obligation qui était la sienne de se présenter aux examens. Dans de telles conditions, il n'y avait nul arbitraire à ne pas procéder à l'administration de moyens de preuves complémentaires. Le grief est donc mal fondé.</w:t>
      </w:r>
    </w:p>
    <w:p>
      <w:r>
        <w:rPr>
          <w:b/>
        </w:rPr>
        <w:t>E. 4</w:t>
      </w:r>
    </w:p>
    <w:p>
      <w:r>
        <w:t>Le recours consiste essentiellement en une discussion de l'état de fait retenu par l'autorité précédente, laquelle aurait établi les faits et apprécié les moyens de preuve de manière arbitraire ( art. 9 Cst. ).</w:t>
      </w:r>
    </w:p>
    <w:p>
      <w:r>
        <w:rPr>
          <w:b/>
        </w:rPr>
        <w:t>E. 4.1</w:t>
      </w:r>
    </w:p>
    <w:p>
      <w:r>
        <w:t>Le Tribunal fédéral statue en principe sur la base des faits établis par l'autorité précédente, sauf si ceux-ci ont été retenus de façon manifestement inexacte - ce qui correspond à la notion d'arbitraire ( ATF 134 V 53 consid. 4.3 p. 63) - ou en violation du droit au sens de l' art. 95 LTF (cf. art. 105 al. 1 et 2 LTF ) et si la correction du vice est susceptible d'influer sur le sort de la cause ( art. 97 al. 1 LTF ). 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se fondant sur les éléments recueillis, elle en tire des constatations insoutenables ( ATF 134 V 53 consid. 4.3 p. 62; 129 I 8 consid. 2.1 p. 9). Si le recourant entend s'en prendre aux faits ressortant de l'arrêt attaqué, il doit établir de manière précise la réalisation de ces conditions (cf. aussi consid. 1.3 ci-dessus). A défaut, il n'est pas possible de tenir compte d'un état de fait divergent de celui qui est contenu dans l'acte attaqué. En particulier, le Tribunal fédéral n'entre pas en matière sur des critiques de type appellatoire portant sur l'état de fait ou l'appréciation des preuves ( ATF 137 II 353 consid. 5.1 p. 356 et les arrêts cités).</w:t>
      </w:r>
    </w:p>
    <w:p>
      <w:r>
        <w:rPr>
          <w:b/>
        </w:rPr>
        <w:t>E. 4.2</w:t>
      </w:r>
    </w:p>
    <w:p>
      <w:r>
        <w:t>Une bonne partie de l'argumentation développée dans le mémoire de recours ne répond pas à ces exigences et est, partant, irrecevable. D'une part, la recourante présente sa version des faits, sans exposer en quoi les faits consignés dans la décision attaquée seraient arbitraires au sens rappelé ci-dessus. D'autre part, elle se plaint de ce que certains faits n'ont pas été retenus par l'autorité précédente, sans toutefois démontrer en quoi leur éventuelle admission aurait pu influer sur le sort de la cause. Ce faisant, elle perd de vue que le Tribunal fédéral n'est pas une instance d'appel et qu'il ne sert à rien, sous couvert d'arbitraire, de discuter librement les faits devant lui. Le Tribunal de céans contrôlera donc l'application du droit déterminant en se fondant sur les seuls faits retenus par l'autorité précédente.</w:t>
      </w:r>
    </w:p>
    <w:p>
      <w:r>
        <w:rPr>
          <w:b/>
        </w:rPr>
        <w:t>E. 5</w:t>
      </w:r>
    </w:p>
    <w:p>
      <w:r>
        <w:t>S'agissant du droit, la recourante dénonce une violation de l'art. 23 al. 2 des directives-cadres relatives à la formation de base (bachelor et master) en HES-SO, du 6 mai 2011 (disponibles sur le site Internet de la HES-SO, à l'adresse www.hes-so.ch; ci-après: les directives relatives à la formation de base), ainsi que de l'art. 20 al. 1 des directives de filière du Bachelor of Science HES-SO en soins infirmiers, dans leur teneur du 1er septembre 2011 (disponibles sur le même site; ci-après: les directives de filière).</w:t>
      </w:r>
    </w:p>
    <w:p>
      <w:r>
        <w:rPr>
          <w:b/>
        </w:rPr>
        <w:t>E. 5.1</w:t>
      </w:r>
    </w:p>
    <w:p>
      <w:r>
        <w:t>Le Tribunal fédéral contrôle librement l'application du droit intercantonal, auquel ressortit la convention HES-SO (cf. art. 95 let . e; arrêt 4A_24/2011 du 28 mars 2012 consid. 3.1 avec références). Le grief de violation du droit intercantonal est toutefois soumis aux exigences de motivation plus strictes de l' art. 106 al. 2 LTF ; l'acte de recours doit ainsi contenir un exposé succinct des droits ou principes violés et exposer de manière claire et circonstanciée en quoi consiste leur violation (cf. ATF 135 III 232 consid. 1.2; 134 II 244 consid. 2.2). A défaut, les griefs de violation de ces dispositions sont irrecevables.</w:t>
      </w:r>
    </w:p>
    <w:p>
      <w:r>
        <w:rPr>
          <w:b/>
        </w:rPr>
        <w:t>E. 5.2</w:t>
      </w:r>
    </w:p>
    <w:p>
      <w:r>
        <w:t>Aux termes de l'article 4 des directives de filière, l'étudiant immatriculé dans un site et candidat au bachelor en soins infirmiers peut demander à changer de site de formation, sous réserve des places disponibles (al. 1). Sa demande doit être adressée à la direction du site dans lequel il souhaite entrer, avec copie à la direction du site qu'il entend quitter (al. 2). Les modalités et les conditions de passage intrafilière sont déterminées par les directions des deux sites concernés en fonction de chaque situation et l'étudiant doit s'y conformer (al. 3). Les directions de sites concernées informent l'étudiant par écrit des conditions de passage décidées (al. 4). Il appartient à l'étudiant de s'assurer des conditions de sortie et d'entrée dans les sites concernés (al. 5). Dans le cadre du passage intrafilière, les crédits ECTS acquis dans un site de formation sont reconnus par les autres sites de la même filière (al. 6).</w:t>
      </w:r>
    </w:p>
    <w:p>
      <w:r>
        <w:t>Selon l'article 23 des directives relatives à la formation de base, l'étudiant qui n'obtient pas les crédits attribués à un module obligatoire doit le répéter dès que possible (al. 1). Chaque module ne peut être répété qu'une seule fois. Les abandons sont considérés comme des échecs (al. 2). L'article 17 des directives de filière précise que la participation aux évaluations est obligatoire. Toute absence doit être justifiée au moyen d'un certificat médical ou d'un document officiel (al. 1). En cas d'absence injustifiée ou si les travaux ne sont pas rendus dans les délais fixés, l'étudiant obtient la qualification F (al. 2), laquelle est considérée dans l'échelle de notation ECTS comme insuffisante (art. 16 al. 1 des directives de filière). L'article 20 al. 1 des directives de filière dispose encore qu'est exclu définitivement de la filière l'étudiant qui, alternativement, n'a pas obtenu les crédits ECTS nécessaires à l'obtention du diplôme de bachelor dans le délai imparti (let. a) ou est en échec définitif dans un module obligatoire (let. b).</w:t>
      </w:r>
    </w:p>
    <w:p>
      <w:r>
        <w:rPr>
          <w:b/>
        </w:rPr>
        <w:t>E. 5.3</w:t>
      </w:r>
    </w:p>
    <w:p>
      <w:r>
        <w:t>La recourante fait essentiellement valoir qu'elle a demandé son transfert de la HEDS à la Source et qu'elle a reçu des assurances - dont elle se prévaut au titre de la protection de la bonne foi (cf. consid. 6 ci-après) - que cela ne poserait pas problème. Ces assurances étant antérieures à la date (13 février 2012) de l'examen du module "Profession et travail infirmier", son absence audit examen était selon elle justifiée et l'art. 23 al. 2 des directives relatives à la formation de base serait inapplicable, tout comme l'article 20 al. 1 des directives de filière.</w:t>
      </w:r>
    </w:p>
    <w:p>
      <w:r>
        <w:t>Il ressort de la décision entreprise, dont l'état de fait lie le Tribunal fédéral (cf. consid. 4.1 ci-dessus), que, par courrier du 30 janvier 2012 adressé à l'ancienne mandataire de la recourante et en copie à cette dernière, la HEDS a communiqué les formalités à accomplir afin de poursuivre les études dans une autre école de la HES-SO. La HEDS a également rendu la recourante attentive au fait qu'un transfert ou un congé ne pouvaient intervenir qu'à la fin d'un semestre, ce qui impliquait qu'elle devait se présenter aux examens des modules du semestre d'automne 2011-2012 fixés dans son aménagement d'études. Par courriel du 9 février 2012, la HEDS lui a encore rappelé le contenu de son courrier du 30 janvier 2012. Dans ces conditions, la recourante ne pouvait ignorer qu'elle devait impérativement se présenter à l'examen du module "Profession et travail infirmier" le 13 février 2012, module qui était d'ailleurs voué à disparaître l'année suivante. La situation n'est pas différente à supposer que la recourante, comme elle le prétend, n'ait pas eu connaissance du courrier du 30 janvier 2012 en temps utile et, au surplus, que la connaissance qu'en avait son ancienne mandataire ou les auxiliaires de celle-ci ne lui fût pas opposable. En effet, dans ce cas également, la recourante n'était pas fixée sur les conditions de sortie du site de la HEDS, ce dont elle était tenue de s'assurer en vertu de l'art. 4 al. 5 des directives de filière, et elle devait partir de l'idée que le programme indiqué par cette école, notamment pour ce qui était de la répétition du module en question, demeurait valable.</w:t>
      </w:r>
    </w:p>
    <w:p>
      <w:r>
        <w:t>La recourante ne s'étant pas présentée à l'examen du 13 février 2012 et n'ayant pas déposé de certificat médical ou un quelconque document officiel propre à justifier son absence, les autorités précédentes étaient ainsi fondées à considérer celle-ci comme injustifiée, ce qui impliquait d'attribuer à la recourante la qualification F et, partant, de l'exmatriculer, dès lors qu'il s'agissait de son deuxième échec audit module. Le recours est donc mal fondé sur ce point.</w:t>
      </w:r>
    </w:p>
    <w:p>
      <w:r>
        <w:rPr>
          <w:b/>
        </w:rPr>
        <w:t>E. 6.1</w:t>
      </w:r>
    </w:p>
    <w:p>
      <w:r>
        <w:t>La recourante se plaint d'une violation du principe de la bonne foi. 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p. 636 s.).</w:t>
      </w:r>
    </w:p>
    <w:p>
      <w:r>
        <w:rPr>
          <w:b/>
        </w:rPr>
        <w:t>E. 6.2</w:t>
      </w:r>
    </w:p>
    <w:p>
      <w:r>
        <w:t>En l'espèce, la recourante a bénéficié de multiples informations, qui plus est univoques, sur la voie à suivre pour changer de site de formation et sur l'obligation qui était la sienne de se présenter aux examens du semestre d'automne 2011-2012. Dans ces conditions, il lui incombait de se soumettre aux prescriptions de l'autorité, ce qu'elle n'a pas fait, pour des motifs qui lui sont propres, mais qui n'ont rien à voir avec des assurances prétendument données de manière fallacieuse par l'autorité. Le grief de violation de la bonne foi est donc mal fondé.</w:t>
      </w:r>
    </w:p>
    <w:p>
      <w:r>
        <w:rPr>
          <w:b/>
        </w:rPr>
        <w:t>E. 7</w:t>
      </w:r>
    </w:p>
    <w:p>
      <w:r>
        <w:t>Le recours en matière de droit public doit ainsi être rejeté, dans la mesure où il est recevable.</w:t>
      </w:r>
    </w:p>
    <w:p>
      <w:r>
        <w:t>Dès lors que le recours était manifestement dénué de chances de succès, la recourante ne saurait être mise au bénéfice de l'assistance judiciaire (cf. art. 64 al. 1 LTF ).</w:t>
      </w:r>
    </w:p>
    <w:p>
      <w:r>
        <w:t>Succombant, la recourante supportera les frais judiciaires (cf. art. 66 al. 1 LTF ) et n'a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