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2C_420/2014 vom 9. Dezember 2014</w:t>
      </w:r>
    </w:p>
    <w:p>
      <w:r>
        <w:t>Bundesgericht, 2014-12-09, DE</w:t>
      </w:r>
    </w:p>
    <w:p>
      <w:r>
        <w:rPr>
          <w:b/>
        </w:rPr>
        <w:t xml:space="preserve">Quelle: </w:t>
      </w:r>
      <w:r>
        <w:t>https://mcp.opencaselaw.ch/entscheid/bger_2C_420_2014</w:t>
      </w:r>
    </w:p>
    <w:p>
      <w:r>
        <w:t>FR: TF 2C_420/2014 du 9 décembre 2014</w:t>
      </w:r>
    </w:p>
    <w:p>
      <w:r>
        <w:t>IT: TF 2C_420/2014 del 9 dicembre 2014</w:t>
      </w:r>
    </w:p>
    <w:p>
      <w:pPr>
        <w:pStyle w:val="Heading2"/>
      </w:pPr>
      <w:r>
        <w:t>Erwägungen</w:t>
      </w:r>
    </w:p>
    <w:p>
      <w:r>
        <w:rPr>
          <w:b/>
        </w:rPr>
        <w:t>E. 1.1</w:t>
      </w:r>
    </w:p>
    <w:p>
      <w:r>
        <w:t>Die Beschwerde in öffentlich-rechtlichen Angelegenheiten wurde unter Einhaltung der gesetzlichen Frist ( Art. 100 Abs. 1 BGG ) und Form ( Art. 42 BGG ) eingereicht. Sie richtet sich gegen einen Entscheid einer letzten oberen kantonalen Instanz ( Art. 86 Abs. 1 lit. d und Abs. 2 BGG ) über eine gestützt auf das Bundesgesetz über das bäuerliche Bodenrecht vom 4. Oktober 1991 (BGBB; SR 211.412.11) erlassene Feststellungs- und Bewilligungsverfügung und ist somit zulässig ( Art. 89 BGBB ; Art. 82 lit. a BGG ; Urteil 2C_1208/2012 vom 17. Juli 2013 E. 1, nicht publ. in BGE 139 III 327 ; STALDER, in: Das bäuerliche Bodenrecht, Kommentar zum Bundesgesetz über das bäuerliche Bodenrecht vom 4. Oktober 1991, 2. Aufl. 2011, N. 8 zu Art. 88 und 89 BGBB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Vorausgesetzt wird neben der formellen Beschwer, dass ein Beschwerdeführer über eine spezifische Beziehungsnähe zur Streitsache verfügt und einen praktischen, bei ihm eintretenden Nutzen aus der Aufhebung oder Änderung des angefochtenen Entscheids zieht. Ein schutzwürdiges Interesse liegt vor, wenn die tatsächliche oder rechtliche Situation des Beschwerdeführers durch den Ausgang des Verfahrens beeinflusst werden kann ( BGE 137 II 30 E. 2 S. 33 ff.). Der Beschwerdeführer hat am vorinstanzlichen Verfahren teilgenommen und hat, ungeachtet seiner Legitimation in der Sache selbst, ein schutzwürdiges Interesse an der Beurteilung der Frage, ob die Vorinstanz seine Beschwerde zu Recht nicht materiell behandelt hat (Urteil 1C_317/2010, 1C_319/2010 vom 15. Dezember 2010 E. 2). Auf die Beschwerde ist, vorbehältlich der nachfolgenden Ausführungen, einzutreten.</w:t>
      </w:r>
    </w:p>
    <w:p>
      <w:r>
        <w:rPr>
          <w:b/>
        </w:rPr>
        <w:t>E. 1.3</w:t>
      </w:r>
    </w:p>
    <w:p>
      <w:r>
        <w:t>Der Streitgegenstand des bundesgerichtlichen Beschwerdeverfahrens bestimmt sich nach dem Dispositiv des angefochtenen Entscheids und den Beschwerdeanträgen ( BGE 136 II 165 E. 5 S. 174; Urteil 2C_961/2013 vom 29. April 2014 E. 3.3; Urteil 2C_930/2012 vom 10. Januar 2012 E. 1.1). Gegenstand des Beschwerdeverfahrens vor Bundesgericht kann nur sein, was bereits Gegenstand des vorinstanzlichen Verfahrens war oder richtigerweise hätte sein sollen ( BGE 136 II 457 E. 4.2 S. 463; 133 II 35 E. 2 S. 38; Urteil 2C_961/2013 vom 29. April 2014 E. 3.3). Wird ein Nichteintretensentscheid ohne Eventualbegründung ( BGE 139 II 233 E. 3.2 S. 236) angefochten, bildet Streitgegenstand grundsätzlich nur die Frage, ob die Vorinstanz auf die Beschwerde hätte eintreten müssen (Urteil 2C_272/2012 vom 9. Juli 2012 E. 1.1).</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2</w:t>
      </w:r>
    </w:p>
    <w:p>
      <w:r>
        <w:t>Der Beschwerdeführer rügt, die Vorinstanz hätte auf die im vorinstanzlichen Verfahren eingereichte Beschwerde eintreten müssen. Das aktuelle und praktische schutzwürdige Interesse am Erlass einer Feststellungsverfügung ( Art. 84 BGBB ) ergebe sich einerseits daraus, dass er im Falle eines Obsiegens eine Revision des Urteils des Bundesgerichts 5A_345/2012 vom 20. September 2012 beantragen könne. Andererseits ergebe sich ein solches Feststellungsinteresse auch aus der der Vorinstanz hinlänglich bekannten Tatsache, dass er sein Gewerbe zu veräussern beabsichtige. Für diese Veräusserung sei die Frage der Qualifizierung als landwirtschaftliches Gewerbe relevant, wofür auch die Festlegung der SAK ausschlaggebend sei ( Art. 7 BGBB ).</w:t>
      </w:r>
    </w:p>
    <w:p>
      <w:r>
        <w:rPr>
          <w:b/>
        </w:rPr>
        <w:t>E. 2.1</w:t>
      </w:r>
    </w:p>
    <w:p>
      <w:r>
        <w:t>Nach Art. 84 BGBB kann, wer ein schutzwürdiges Interesse hat, von der Bewilligungsbehörde ( Art. 80 BGBB )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der Begriff des schutzwürdigen Interesses stimmt mit demjenigen von Art. 89 Abs. 1 lit. c BGG überein (zu Art. 103 des früheren Organisationsgesetzes vom 16. Dezember 1943 [aOG] Urteil 5A.23/2002 vom 13. Februar 2003 E. 1.3, nicht publ. in BGE 129 III 186 ). Gemäss der bundesgerichtlichen Rechtsprechung können zudem auch die Begriffsbestimmungen von Art. 6-10 BGBB zum Gegenstand einer Feststellungsverfügung gemacht werden ( BGE 129 III 186 E. 2.1 S. 189 f.). Art. 88 BGBB verlangt, dass die Kantone mindestens eine kantonale Beschwerdebehörde vorsehen (Urteil 2C_450/2009 vom 10. Februar 2011 E. 1.1, nicht publ. in: BGE 137 II 182 ). In diesen Verfahren dürfen die Kantone die Beschwerdelegitimation nicht enger fassen als diejenige, welche im bundesgerichtlichen Verfahren gegen letztinstanzliche kantonale Beschwerdeentscheide Anwendung findet ( Art. 89 BGBB ; Art. 82 ff. BGG ; Art. 111 BGG ; EHRENZELLER, in: Basler Kommentar zum Bundesgerichtsgesetz, 2. Aufl. 2011, N. 1 und 4 zu Art. 111 BGG ).</w:t>
      </w:r>
    </w:p>
    <w:p>
      <w:r>
        <w:rPr>
          <w:b/>
        </w:rPr>
        <w:t>E. 2.2</w:t>
      </w:r>
    </w:p>
    <w:p>
      <w:r>
        <w:t>Der Beschwerdeführer war materieller Adressat der Verfügung des LZE vom 19. Oktober 2010, mit welcher ein SAK-Wert von 0.436 festgestellt wurde, Partei im dagegen geführten Rechtsmittelverfahren und Adressat der auf Rückweisung hin erlassenen Verfügung des LZE vom 1. März 2013. Als materieller Adressat einer ihn belastenden und damit seine Rechtsstellung direkt beeinträchtigenden Verfügung (vgl. zur Rechtswirksamkeit von Feststellungsverfügungen UHLMANN, in: Praxiskommentar zum Bundesgesetz über das Verwaltungsverfahren [Praxiskommentar], 2009, N. 87 zu Art. 5 VwVG und zur materiellen Beschwer von materiellen Verfügungsadressaten ausdrücklich MARANTELLI-SONANINI/ HUBER, in: Praxiskommentar, 2009, N. 24 zu Art. 48 VwVG ) hatte er ohne Weiteres ein schutzwürdiges Interesse an deren Anfechtung vor der zuständigen kantonalen Instanz ( Art. 88 BGBB , Art. 89 BGBB und Art. 89 Abs. 1 lit. c BGG in Verbindung mit Art. 111 BGG ; WALDMANN, in: Basler Kommentar zum Bundesgerichtsgesetz, 2. Aufl. 2011, N. 18 zu Art. 89 BGG ; BGE 140 II 315 E. 4.3 S. 325). Die vorliegende Konstellation unterscheidet sich von derjenigen, in welcher erst nach Erlass eines rechtskräftigen Zivilurteils über eine öffentlich-rechtliche Vorfrage ein Feststellungsgesuch ( Art. 84 BGBB ) eingereicht wird (vgl. dazu Urteil 2C_279/2013 vom 13. Dezember 2013); diesfalls war nicht das schutzwürdige Interesse an der Aufhebung und Änderung einer bereits ergangenen Verfügung, sondern am Erlass einer erstinstanzlichen Verfügung zu prüfen. Das schutzwürdige Interesse des Beschwerdeführers an der Aufhebung oder Abänderung der angefochtenen Verfügung ist durch den während hängigem Verwaltungsrechtsmittelverfahren parallel geführten Zivilprozess auch nicht entfallen. Die Zivilgerichte waren zwar mangels Vorliegen einer rechtskräftigen Verfügung berechtigt, über eine öffentlich-rechtliche Rechtsfrage vorfrageweise zu entscheiden (Urteil 5A_345/2012 vom 20. September 2012 E. 1.2). Die vorfrageweise entschiedene Rechtsfrage nimmt jedoch an der materiellen Rechtskraft des Zivilurteils nicht teil (Urteil 2C_279/2013 vom 13. Dezember 2013 E. 2.3.2). Der Beschwerdeführer hat daher weiterhin ein schutzwürdiges Interesse an der Feststellung der zuständigen Verwaltungs (justiz) behörden betreffendder Berechnung der SAK, was er übrigens vor dem Appellationsgericht auch klar zum Ausdruck gebracht hat. Damit erweist sich dessen Nichteintretensentscheid als unbegründet. Die Beschwerde in öffentlich-rechtlichen Angelegenheiten ist gutzuheissen und der vorinstanzliche Entscheid aufzuheben.</w:t>
      </w:r>
    </w:p>
    <w:p>
      <w:r>
        <w:rPr>
          <w:b/>
        </w:rPr>
        <w:t>E. 3</w:t>
      </w:r>
    </w:p>
    <w:p>
      <w:r>
        <w:t>Bei diesem Verfahrensausgang sind keine Gerichtskosten zu erheben ( Art. 66 Abs. 3 BGG ). Der Kanton Basel-Landschaft hat dem Beschwerde führer eine Parteientschädigung von Fr. 2'000.-- auszurichten. Die Vorinstanz wird in ihrem Entscheid die Kosten- und Entschädigungsfolgen des vorinstanzlichen Beschwerdeverfahrens neu regeln (Art. 67 f. BGG,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