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420/2009 vom 4. Dezember 2009</w:t>
      </w:r>
    </w:p>
    <w:p>
      <w:r>
        <w:t>Bundesgericht, 2009-12-04, FR</w:t>
      </w:r>
    </w:p>
    <w:p>
      <w:r>
        <w:rPr>
          <w:b/>
        </w:rPr>
        <w:t xml:space="preserve">Quelle: </w:t>
      </w:r>
      <w:r>
        <w:t>https://mcp.opencaselaw.ch/entscheid/bger_2C_420_2009</w:t>
      </w:r>
    </w:p>
    <w:p>
      <w:r>
        <w:t>FR: TF 2C 420/2009 du 4 décembre 2009</w:t>
      </w:r>
    </w:p>
    <w:p>
      <w:r>
        <w:t>IT: TF 2C 420/2009 del 4 dicembre 2009</w:t>
      </w:r>
    </w:p>
    <w:p>
      <w:pPr>
        <w:pStyle w:val="Heading2"/>
      </w:pPr>
      <w:r>
        <w:t>Regeste</w:t>
      </w:r>
    </w:p>
    <w:p>
      <w:r>
        <w:t>Impôt cantonal et communal 2002; imposition sur le bénéfice des sociétés auxiliaires | Finances publiques &amp; droit fiscal</w:t>
      </w:r>
    </w:p>
    <w:p>
      <w:pPr>
        <w:pStyle w:val="Heading2"/>
      </w:pPr>
      <w:r>
        <w:t>Erwägungen</w:t>
      </w:r>
    </w:p>
    <w:p>
      <w:r>
        <w:rPr>
          <w:b/>
        </w:rPr>
        <w:t>E. 1.1</w:t>
      </w:r>
    </w:p>
    <w:p>
      <w:r>
        <w:t>En vertu de l'art. 89 al. 2 lettre d LTF en relation avec l'art. 73 al. 1 et 2 de la loi fédérale du 14 décembre 1990 sur l'harmonisation des impôts directs des cantons et des communes (LHID; RS 642.14), l'administration fiscale cantonale a qualité pour contester par la voie du recours en matière de droit public une décision portant sur une matière réglée dans les titres 2 à 5 et 6, chapitre 1, de cette dernière loi. Peu importe à cet égard qu'il s'agisse d'une matière réglée exhaustivement par la loi fédérale sur l'harmonisation ou d'un domaine dans lequel les cantons bénéficient d'une certaine marge de manoeuvre ( ATF 134 II 124 consid. 2 p. 128 ss, 186 consid. 1.4 p. 189 s.). En l'occurrence, le litige porte sur le calcul de l'impôt sur le bénéfice d'une société auxiliaire au sens de l'art. 23 al. 1 LIPM (dans sa teneur en vigueur jusqu'au 15 décembre 2004, cf. consid. 2.2 ci-après), soit d'une société qui a en Suisse une activité administrative, mais pas d'activité commerciale. Le calcul de l'impôt sur le bénéfice de ce type de société est réglé à l' art. 28 al. 3 et 4 LHID (cf. consid. 2.1 ci-dessous), disposition qui fait partie du titre 3 de la loi fédérale sur l'harmonisation fiscale. Par conséquent, l'Administration fiscale cantonale a qualité pour recourir.</w:t>
      </w:r>
    </w:p>
    <w:p>
      <w:r>
        <w:rPr>
          <w:b/>
        </w:rPr>
        <w:t>E. 1.2</w:t>
      </w:r>
    </w:p>
    <w:p>
      <w:r>
        <w:t>S'agissant des motifs de recours, l'administration fiscale peut dénoncer la violation des droits constitutionnels, dont en particulier, comme elle le fait en l'espèce, l'interdiction de l'arbitraire ancrée à l' art. 9 Cst. ( ATF 134 II 124 consid. 3 p. 131 ss).</w:t>
      </w:r>
    </w:p>
    <w:p>
      <w:r>
        <w:rPr>
          <w:b/>
        </w:rPr>
        <w:t>E. 1.3</w:t>
      </w:r>
    </w:p>
    <w:p>
      <w:r>
        <w:t>L'Administration fiscale prend des conclusions qui ne sont pas purement cassatoires, puisqu'elle demande la confirmation de sa décision sur réclamation ainsi que du bordereau rectificatif. De telles conclusions sont recevables, l' art. 107 al. 2 LTF l'emportant sur l' art. 73 al. 3 LHID ( ATF 134 II 186 consid. 1.5 p. 190 ss).</w:t>
      </w:r>
    </w:p>
    <w:p>
      <w:r>
        <w:rPr>
          <w:b/>
        </w:rPr>
        <w:t>E. 1.4</w:t>
      </w:r>
    </w:p>
    <w:p>
      <w:r>
        <w:t>Au surplus, le recours est dirigé contre un jugement final (cf. art. 90 LTF ) rendu par un tribunal supérieur statuant en dernière instance cantonale (cf. art. 86 al. 1 lettre d et al. 2 LTF). Il est en principe recevable, puisqu'il a été déposé dans le délai et la forme prévus par la loi (cf. art. 42 et 100 al. 1 LTF ) et que l'on ne se trouve pas dans l'un des cas d'exceptions mentionnés par l' art. 83 LTF (s'agissant par ailleurs de la portée de l' art. 73 al. 1 LHID en relation avec la loi sur le Tribunal fédéral, cf. ATF 134 II 186 consid. 1.3 p. 189).</w:t>
      </w:r>
    </w:p>
    <w:p>
      <w:r>
        <w:rPr>
          <w:b/>
        </w:rPr>
        <w:t>E. 1.5</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loi fédérale sur l'harmonisation fiscale. Selon l' art. 106 al. 2 LTF , en revanche, le Tribunal fédéral n'examine la violation de dispositions de droit cantonal que si ces griefs ont été soulevés et motivés. Il en va de même lorsque les dispositions de la loi sur l'harmonisation fiscale laissent une certaine marge de manoeuvre aux cantons, l'examen de l'interprétation du droit cantonal étant alors limité à l'arbitraire ( ATF 134 II 207 consid. 2 p. 209 s.).</w:t>
      </w:r>
    </w:p>
    <w:p>
      <w:r>
        <w:rPr>
          <w:b/>
        </w:rPr>
        <w:t>E. 2</w:t>
      </w:r>
    </w:p>
    <w:p>
      <w:r>
        <w:t>Le litige porte sur la compensation des pertes avec les bénéfices d'une société auxiliaire.</w:t>
      </w:r>
    </w:p>
    <w:p>
      <w:r>
        <w:rPr>
          <w:b/>
        </w:rPr>
        <w:t>E. 2.1</w:t>
      </w:r>
    </w:p>
    <w:p>
      <w:r>
        <w:t>Conformément à son intitulé, l' art. 28 LHID règle le calcul de l'impôt sur le bénéfice des personnes morales dans certains cas particuliers. Les alinéas 1 et 1bis (l'alinéa 1ter, introduit par la loi fédérale du 23 mars 2007 sur la réforme de l'imposition des entreprises II, n'est en vigueur que depuis le 1er janvier 2009) traitent de la réduction pour participations. L'alinéa 2 décrit le régime des sociétés holding. Les alinéas 3 et 4 réglementent le statut des sociétés de domicile, d'administration ou de base, appelées aussi sociétés auxiliaires. Ces sociétés se caractérisent par le fait qu'elles sont implantées en Suisse, où elles ont une activité essentiellement administrative, tandis que leur activité économique (commerciale) produit ses effets à l'étranger (Ryser/Rolli, Précis de droit fiscal suisse, 4e éd., 2002, p. 351 s.; Xavier Oberson, Droit fiscal suisse, 3e éd., 2007, § 12 no 29). La teneur des alinéas en question est la suivante: "3 Les sociétés de capitaux, les sociétés coopératives et les fondations qui ont en Suisse une activité administrative, mais pas d'activité commerciale, paient l'impôt sur le bénéfice comme suit: a. le rendement des participations au sens de l'al. 1, ainsi que les bénéfices en capital et les bénéfices de réévaluation provenant de ces participations sont exonérés de l'impôt; b. les autres recettes de source suisse sont imposées de façon ordinaire; c. les autres recettes de source étrangère sont imposées de façon ordinaire en fonction de l'importance de l'activité administrative exercée en Suisse; d. les charges justifiées par l'usage commercial, en relation économique avec des rendements et des recettes déterminés, doivent être déduites de ceux-ci en priorité. Les pertes subies sur des participations au sens de la let. a ne peuvent être compensées qu'avec les rendements mentionnés à la let. a.</w:t>
      </w:r>
    </w:p>
    <w:p>
      <w:r>
        <w:rPr>
          <w:b/>
        </w:rPr>
        <w:t>E. 2.2</w:t>
      </w:r>
    </w:p>
    <w:p>
      <w:r>
        <w:t>Faisant partie de la Section 2 "Calcul de l'impôt" du Chapitre II "Impôt sur le bénéfice" de la loi genevoise sur l'imposition des personnes morales, l'art. 21 est consacré à la "réduction pour participations ayant une influence déterminante", l'art. 22 aux sociétés holding et l'art. 23 aux sociétés auxiliaires. Dans sa teneur en vigueur jusqu'au 15 décembre 2004, cette dernière norme disposait ce qui suit (Recueil authentique des lois et actes du gouvernement de la République et canton de Genève 1994 p. 344 ss): "1 Les sociétés de capitaux, les sociétés coopératives et les fondations qui ont en Suisse une activité administrative, mais pas d'activité commerciale, paient l'impôt sur le bénéfice comme suit: a) le rendement des participations de l'article 21, ainsi que les bénéfices en capital et les bénéfices de réévaluation provenant de ces participations sont exonérés de l'impôt; b) les autres recettes de source suisse sont imposées selon le barème ordinaire; c) les autres recettes de source étrangère sont imposées selon le barème ordinaire, en fonction de l'importance de l'activité administrative exercée en Suisse. 2 Des comptes distincts seront tenus pour chaque catégorie de revenus à laquelle doivent être imputés les frais d'acquisition qui lui sont directement liés. 3 Si les frais ne peuvent être imputés à une catégorie particulière de revenus, les charges financières sont réparties proportionnellement à la valeur comptable des participations et des autres actifs; les frais généraux, après déduction des charges financières, sont répartis proportionnellement aux recettes de source suisse et étrangère.</w:t>
      </w:r>
    </w:p>
    <w:p>
      <w:r>
        <w:rPr>
          <w:b/>
        </w:rPr>
        <w:t>E. 4</w:t>
      </w:r>
    </w:p>
    <w:p>
      <w:r>
        <w:t>La question de la compensation d'un excédent de charges avec des recettes appartenant à une autre catégorie de revenus imposables n'étant pas réglée par la loi fédérale sur l'harmonisation, qui laisse à cet égard une marge de manoeuvre aux cantons (cf. consid. 2.1 ci-dessus), le Tribunal fédéral limite son examen de l'interprétation du droit cantonal à l'arbitraire (cf. consid. 1.5 ci-dessus).</w:t>
      </w:r>
    </w:p>
    <w:p>
      <w:r>
        <w:rPr>
          <w:b/>
        </w:rPr>
        <w:t>E. 4.1</w:t>
      </w:r>
    </w:p>
    <w:p>
      <w:r>
        <w:t>Une décision est arbitraire lorsqu'elle contredit clairement la situation de fait, lorsqu'elle viole gravement une norme ou un principe juridique clair et indiscuté, ou lorsqu'elle heurte d'une manière choquante le sentiment de la justice et de l'équité. Le Tribunal fédéral ne s'écarte de la solution retenue par l'autorité cantonale de dernière instance que si celle-ci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ce qu'il appartient aux recourants de démontrer en vertu de l' art. 106 al. 2 LTF . Il n'y a en outre pas arbitraire du seul fait qu'une autre solution que celle de l'autorité précédente paraît concevable, voire préférable ( ATF 134 I 263 consid. 1 p. 265; 134 II 124 consid. 4.1 p. 133; 134 I 140 consid. 5.4 p. 148).</w:t>
      </w:r>
    </w:p>
    <w:p>
      <w:r>
        <w:rPr>
          <w:b/>
        </w:rPr>
        <w:t>E. 4.2</w:t>
      </w:r>
    </w:p>
    <w:p>
      <w:r>
        <w:t>La recourante admet elle-même que l'art. 23 LIPM ne règle pas la compensation d'un excédent de charges avec des bénéfices appartenant à une autre catégorie, hormis le cas des pertes sur participations (al. 4), qui n'est pas pertinent en l'espèce. Par conséquent, la décision attaquée ne saurait être entachée d'arbitraire en ce sens qu'elle violerait gravement cette disposition. Le mode de calcul appliqué par l'autorité intimée, consistant à compenser d'abord les pertes de source suisse avec les bénéfices de même provenance, n'apparaît pas non plus insoutenable. Il présente au contraire l'avantage de compenser, dans un premier temps, des résultats dont le traitement fiscal est identique - provenant de source suisse, ils sont imposables selon le barème ordinaire - , alors que c'est le mélange de substrats dont le traitement fiscal est différent - les recettes de source suisse étant imposables en plein et celles provenant de l'étranger seulement partiellement - qui conduit à des résultats aléatoires et peu satisfaisants (Duss/von Ah/Rutishauser, op. cit., no 153 ad art. 28 LHID ). Il semble du reste que de nombreux cantons permettent la compensation entre les résultats de l'activité en Suisse et ceux réalisés à l'étranger (cf. Duss/von Ah/Rutishauser, op. cit., nos 149 et 151 ad art. 28 LHID ), en se servant des deux catégories "revenus de source suisse" et "revenus de source étrangère". On ne saurait dire ainsi que la solution de l'autorité précédente a été adoptée sans motifs objectifs. En outre, on ne voit pas que l'on puisse reprocher, sous l'angle de l'arbitraire, aux juges cantonaux de s'être écartés de l'Information no 4/94 établie par la recourante. Ce texte, qui a valeur d'ordonnance administrative (cf. arrêt 2C_653/2008 du 24 février 2009 consid. 6.3), n'est pas contraignant à l'égard des tribunaux (cf. ATF 133 V 346 consid. 5.4.2 p. 352), de sorte que l'interprétation donnée à l'art. 23 LIPM par les juges cantonaux ne saurait être qualifiée d'insoutenable pour le motif qu'elle privilégie une solution différente, ce d'autant moins qu'elle repose sur des motifs objectifs, ainsi qu'il a été dit. La recourante ne démontre du reste pas - comme cela lui incombe - en quoi le résultat auquel le mode de calcul retenu dans la décision attaquée conduit serait arbitraire.</w:t>
      </w:r>
    </w:p>
    <w:p>
      <w:r>
        <w:rPr>
          <w:b/>
        </w:rPr>
        <w:t>E. 5</w:t>
      </w:r>
    </w:p>
    <w:p>
      <w:r>
        <w:t>Au vu de ce qui précède, le recours doit être rejeté. Succombant, la recourante - dont l'intérêt patrimonial est en cause - supporte les frais judiciaires (cf. art. 66 al. 1 et 4 LTF ). L'intimée a droit à des dépens (cf. art. 68 al. 2 LTF ), qu'il convient de mettre à la charge du canton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