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41/2010 vom 17. Mai 2010</w:t>
      </w:r>
    </w:p>
    <w:p>
      <w:r>
        <w:t>Bundesgericht, 2010-05-17, IT</w:t>
      </w:r>
    </w:p>
    <w:p>
      <w:r>
        <w:rPr>
          <w:b/>
        </w:rPr>
        <w:t xml:space="preserve">Quelle: </w:t>
      </w:r>
      <w:r>
        <w:t>https://mcp.opencaselaw.ch/entscheid/bger_2C_41_2010</w:t>
      </w:r>
    </w:p>
    <w:p>
      <w:r>
        <w:t>FR: TF 2C 41/2010 du 17 mai 2010</w:t>
      </w:r>
    </w:p>
    <w:p>
      <w:r>
        <w:t>IT: TF 2C 41/2010 del 17 maggio 2010</w:t>
      </w:r>
    </w:p>
    <w:p>
      <w:pPr>
        <w:pStyle w:val="Heading2"/>
      </w:pPr>
      <w:r>
        <w:t>Regeste</w:t>
      </w:r>
    </w:p>
    <w:p>
      <w:r>
        <w:t>Autorizzazione per l'esercizio della professione di architetto | Diritto fondamentale</w:t>
      </w:r>
    </w:p>
    <w:p>
      <w:pPr>
        <w:pStyle w:val="Heading2"/>
      </w:pPr>
      <w:r>
        <w:t>Erwägungen</w:t>
      </w:r>
    </w:p>
    <w:p>
      <w:r>
        <w:rPr>
          <w:b/>
        </w:rPr>
        <w:t>E. 3</w:t>
      </w:r>
    </w:p>
    <w:p>
      <w:r>
        <w:t>Davanti a questa Corte, il ricorrente ritiene per contro che la scuola specializzata superiore in cui si è a suo tempo diplomato dovesse essere considerata equivalente ad una scuola universitaria professionale giusta l'art. 5 cpv. 1 lett. b LEPIA, in quanto essa farebbe parte del medesimo livello di formazione. Egli considera inoltre di adempiere anche alle condizioni per il riconoscimento di un diritto acquisito giusta l'art. 5 cpv. 2 LEPIA. Osserva in proposito che, proprio in base all'art. 36 LPEPIA, poteva presentarsi quale architetto paesaggista dinanzi a clienti pubblici e privati e partecipare a concorsi pubblici. In base a quest'argomentazione, sostiene una violazione del divieto d'arbitrio in relazione all'art. 5 cpv. 1 e cpv. 2 LEPIA; fa quindi valere una lesione del principio dell'uguaglianza giuridica e della garanzia della libertà economica. I.       Ricorso in materia di diritto pubblico</w:t>
      </w:r>
    </w:p>
    <w:p>
      <w:r>
        <w:rPr>
          <w:b/>
        </w:rPr>
        <w:t>E. 4</w:t>
      </w:r>
    </w:p>
    <w:p>
      <w:r>
        <w:t>Nell'ambito del ricorso ordinario, la censura della violazione dell' art. 9 Cost. va esaminata riguardo all'applicazione dell'art. 5 cpv. 2 LEPIA, norma che riconosce i requisiti per il rilascio dell'autorizzazione all'esercizio della professione di architetto anche alle persone abilitate in base a un diritto acquisito (cfr. precedente consid. 1.1). Denunciando un'applicazione arbitraria di questa norma in relazione con l'art. 36 LPEPIA, il ricorrente si limita a rilevare in modo apodittico che il diniego dell'autorizzazione richiesta da parte dell'istanza inferiore costituisca un errore evidente, poiché ignorerebbe l'attività da lui svolta "oramai da anni, anche in conformità delle norme previgenti" e il fatto che egli "ha sempre potuto esercitare la sua professione in modo indisturbato". Aggiunge quindi, sempre senza realmente confrontarsi con il giudizio impugnato, che il rifiuto di riconoscergli il diritto di sottoscrivere domande di costruzione comporta, alla luce della sua legittimazione a partecipare a concorsi pubblici, "una contraddizione grossolana". Esposta in questi termini, la censura è pertanto inammissibile già per difetto di motivazione ( art. 106 cpv. 2 LTF ). Per altro, il giudizio impugnato non è comunque affatto il risultato di una violazione manifesta e immediatamente riconoscibile delle norme cantonali applicate ( DTF 132 I 13 consid. 5.1 pag. 18). In effetti, né gli art. 40 vLE e 38 vRLE, cui rinvia l'art. 4 cpv. 4 LE (Adelio Scolari, Commentario, 1997, n. 750 seg. ad art. 4 LE), né l'art. 8 lett. b LPEPIA - in base ai quali la Corte cantonale nega concretamente il riconoscimento di un diritto acquisito, ma su cui il ricorrente omette di pronunciarsi - menzionano i titoli da lui conseguiti.</w:t>
      </w:r>
    </w:p>
    <w:p>
      <w:r>
        <w:rPr>
          <w:b/>
        </w:rPr>
        <w:t>E. 5</w:t>
      </w:r>
    </w:p>
    <w:p>
      <w:r>
        <w:t>Anche l'ammissibilità della censura della violazione dell' art. 8 Cost. appare alquanto dubbia, poiché il ricorso solo vi accenna. Concernendo l'uguaglianza di trattamento tra concorrenti, di tale aspetto può comunque essere tenuto conto direttamente nell'ambito dell'esame dell'asserita violazione della garanzia della libertà economica (cfr. successivo consid. 6), che già lo comprende (sentenza 2C_564/2009 del 26 febbraio 2010 consid. 6.2; Marco Borghi, Il diritto per gli architetti, 2010, pag. 48).</w:t>
      </w:r>
    </w:p>
    <w:p>
      <w:r>
        <w:rPr>
          <w:b/>
        </w:rPr>
        <w:t>E. 6</w:t>
      </w:r>
    </w:p>
    <w:p>
      <w:r>
        <w:t>In relazione con l' art. 27 Cost. , il ricorrente considera infine che la decisione di impedirgli di esercitare la professione di architetto quale membro OTIA, costituisca un illecito intervento di natura politica-economica dello Stato, che comporta una disparità di trattamento tra concorrenti. Pur non mettendo in discussione la conformità dell'art. 5 LEPIA alla Costituzione, sostiene pertanto una violazione dell' art. 27 Cost. nel caso concreto, rimandando alla sentenza 2P.440/1995 del 12 marzo 1997 concernente la vecchia LPEPIA (pubblicata in Rivista di diritto amministrativo e tributario ticinese [RDAT] 1997 II pag. 99). Sempre a torto. Proprio nel giudizio citato - dove si è sì espresso sulla parità di trattamento tra concorrenti, ma solo in quanto tutti abilitati a svolgere la professione di architetto, ciò che non è nel caso in esame - il Tribunale federale ha già confermato in via generale la facoltà dei Cantoni di sottoporre l'esercizio della professione di architetto a regole specifiche a tutela dell'interesse pubblico, segnatamente per motivi di sicurezza legati all'esercizio della professione. Su tali basi, ha quindi espressamente riconosciuto conforme alla Costituzione il diritto da parte dello Stato di permettere l'accesso a tale professione solo a chi possiede determinati diplomi o titoli equivalenti. Il diniego d'iscrizione all'albo OTIA a chi non è in possesso dei requisiti richiesti dalla legge - come tale, non contestata - non può di conseguenza comportare una disparità di trattamento: al pari della precedente LPEPIA, anche la LEPIA non ha come scopo quello di favorire qualcuno in particolare, bensì di tutelare la sicurezza della popolazione in relazione all'esercizio della professione di ingegnere e di architetto (cfr. messaggio del Consiglio di Stato n. 5233 del 9 aprile 2002 concernente la LEPIA pag. 2-3); nell'ambito del perseguimento di questo scopo, un trattamento differenziato risulta pertanto lecito (in proposito, cfr. analogamente DTF 2C_52/2009 del 13 gennaio 2010 consid. 5.5 con rinvii). II.       Ricorso sussidiario in materia costituzionale</w:t>
      </w:r>
    </w:p>
    <w:p>
      <w:r>
        <w:rPr>
          <w:b/>
        </w:rPr>
        <w:t>E. 7</w:t>
      </w:r>
    </w:p>
    <w:p>
      <w:r>
        <w:t>Nell'ambito del ricorso sussidiario in materia costituzionale, resta unicamente da esaminare la censura della violazione dell' art. 9 Cost. in relazione con l'applicazione dell'art. 5 cpv. 1 lett. b LEPIA, norma che indica i requisiti per il rilascio dell'autorizzazione all'esercizio della professione di architetto in base ai diplomi conseguiti (cfr. precedente consid. 1.1).</w:t>
      </w:r>
    </w:p>
    <w:p>
      <w:r>
        <w:rPr>
          <w:b/>
        </w:rPr>
        <w:t>E. 7.1</w:t>
      </w:r>
    </w:p>
    <w:p>
      <w:r>
        <w:t>In merito all'art. 5 cpv. 1 lett. b LEPIA, il ricorrente considera in sostanza che l'equivalenza richiesta da questa norma avrebbe dovuto essere ammessa secondo un criterio diverso: in luogo della necessità o meno di una maturità per potersi iscrivere alla scuola in oggetto, quello del livello di formazione da lui proposto.</w:t>
      </w:r>
    </w:p>
    <w:p>
      <w:r>
        <w:rPr>
          <w:b/>
        </w:rPr>
        <w:t>E. 7.2</w:t>
      </w:r>
    </w:p>
    <w:p>
      <w:r>
        <w:t>Pure in questo caso, la censura è solo sommariamente motivata ed è pertanto dubbio che adempia ai severi requisiti descritti (cfr. precedente consid. 1.3). La questione può comunque essere lasciata aperta. Quand'anche ricevibile, essa dev'essere infatti considerata infondata. L'interpretazione del concetto di equivalenza contenuta nel giudizio impugnato con rinvio alla distinzione tra scuola specializzata superiore giusta l'art. 29 della LFPr e scuola universitaria professionale, quale centro di formazione appartenente al settore delle scuole universitarie giusta l' art. 2 LSUP , è in effetti perfettamente sostenibile. Il fatto che anche la soluzione prospettata dal ricorrente potrebbe eventualmente esserlo, non basta a dimostrare l'arbitrio di quella impugnata ( DTF 132 I 13 consid. 5.1 pag. 18).</w:t>
      </w:r>
    </w:p>
    <w:p>
      <w:r>
        <w:rPr>
          <w:b/>
        </w:rPr>
        <w:t>E. 8.1</w:t>
      </w:r>
    </w:p>
    <w:p>
      <w:r>
        <w:t>Da quel che precede discende che, per quanto ammissibili, sia il ricorso in materia di diritto pubblico che il ricorso sussidiario in materia costituzionale devono essere respinti.</w:t>
      </w:r>
    </w:p>
    <w:p>
      <w:r>
        <w:rPr>
          <w:b/>
        </w:rPr>
        <w:t>E. 8.2</w:t>
      </w:r>
    </w:p>
    <w:p>
      <w:r>
        <w:t>Secondo soccombenza, le spese vanno poste a carico del ricorrente ( art. 65 e 66 cpv. 1 LTF ). Essendo qualificabile come organizzazione incaricata di compiti di diritto pubblico, all'OTIA non vengono riconosciute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